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A106602" w14:textId="279B08DF" w:rsidR="008E7E6D" w:rsidRDefault="008E7E6D" w:rsidP="008308F6">
      <w:pPr>
        <w:tabs>
          <w:tab w:val="left" w:pos="619"/>
        </w:tabs>
        <w:spacing w:before="200" w:after="600"/>
      </w:pPr>
    </w:p>
    <w:tbl>
      <w:tblPr>
        <w:tblW w:w="9350" w:type="dxa"/>
        <w:tblCellMar>
          <w:left w:w="10" w:type="dxa"/>
          <w:right w:w="10" w:type="dxa"/>
        </w:tblCellMar>
        <w:tblLook w:val="04A0" w:firstRow="1" w:lastRow="0" w:firstColumn="1" w:lastColumn="0" w:noHBand="0" w:noVBand="1"/>
      </w:tblPr>
      <w:tblGrid>
        <w:gridCol w:w="9350"/>
      </w:tblGrid>
      <w:tr w:rsidR="008E7E6D" w:rsidRPr="008308F6" w14:paraId="348E9DC6" w14:textId="77777777">
        <w:tblPrEx>
          <w:tblCellMar>
            <w:top w:w="0" w:type="dxa"/>
            <w:bottom w:w="0" w:type="dxa"/>
          </w:tblCellMar>
        </w:tblPrEx>
        <w:tc>
          <w:tcPr>
            <w:tcW w:w="9350" w:type="dxa"/>
            <w:shd w:val="clear" w:color="auto" w:fill="142B3F"/>
            <w:tcMar>
              <w:top w:w="360" w:type="dxa"/>
              <w:left w:w="420" w:type="dxa"/>
              <w:bottom w:w="360" w:type="dxa"/>
              <w:right w:w="420" w:type="dxa"/>
            </w:tcMar>
          </w:tcPr>
          <w:p w14:paraId="12265157" w14:textId="77777777" w:rsidR="008E7E6D" w:rsidRPr="008308F6" w:rsidRDefault="00000000">
            <w:pPr>
              <w:spacing w:after="160"/>
              <w:rPr>
                <w:lang w:val="fr-FR"/>
              </w:rPr>
            </w:pPr>
            <w:r w:rsidRPr="008308F6">
              <w:rPr>
                <w:rFonts w:ascii="Calibri" w:eastAsia="Calibri" w:hAnsi="Calibri" w:cs="Calibri"/>
                <w:b/>
                <w:bCs/>
                <w:color w:val="9FD8C6"/>
                <w:sz w:val="18"/>
                <w:szCs w:val="18"/>
                <w:lang w:val="fr-FR"/>
              </w:rPr>
              <w:t>NOTE ÉCONOMIQUE ET OPÉRATIONNELLE</w:t>
            </w:r>
          </w:p>
          <w:p w14:paraId="630B3EAF" w14:textId="77777777" w:rsidR="008E7E6D" w:rsidRPr="008308F6" w:rsidRDefault="00000000">
            <w:pPr>
              <w:spacing w:after="80"/>
              <w:rPr>
                <w:lang w:val="fr-FR"/>
              </w:rPr>
            </w:pPr>
            <w:r w:rsidRPr="008308F6">
              <w:rPr>
                <w:rFonts w:ascii="Calibri" w:eastAsia="Calibri" w:hAnsi="Calibri" w:cs="Calibri"/>
                <w:b/>
                <w:bCs/>
                <w:color w:val="FFFFFF"/>
                <w:sz w:val="44"/>
                <w:szCs w:val="44"/>
                <w:lang w:val="fr-FR"/>
              </w:rPr>
              <w:t>Économie et adaptation de la géothermie</w:t>
            </w:r>
          </w:p>
          <w:p w14:paraId="4170B5BD" w14:textId="77777777" w:rsidR="008E7E6D" w:rsidRPr="008308F6" w:rsidRDefault="00000000">
            <w:pPr>
              <w:spacing w:after="160"/>
              <w:rPr>
                <w:lang w:val="fr-FR"/>
              </w:rPr>
            </w:pPr>
            <w:r w:rsidRPr="008308F6">
              <w:rPr>
                <w:rFonts w:ascii="Calibri" w:eastAsia="Calibri" w:hAnsi="Calibri" w:cs="Calibri"/>
                <w:color w:val="E8EEEC"/>
                <w:sz w:val="22"/>
                <w:szCs w:val="22"/>
                <w:lang w:val="fr-FR"/>
              </w:rPr>
              <w:t>Massification théorique, adaptation opérationnelle, formations, personnel fiable et ROI 10–20 ans</w:t>
            </w:r>
          </w:p>
          <w:p w14:paraId="1BF8D84C" w14:textId="77777777" w:rsidR="008E7E6D" w:rsidRPr="008308F6" w:rsidRDefault="00000000">
            <w:pPr>
              <w:rPr>
                <w:lang w:val="fr-FR"/>
              </w:rPr>
            </w:pPr>
            <w:r w:rsidRPr="008308F6">
              <w:rPr>
                <w:rFonts w:ascii="Calibri" w:eastAsia="Calibri" w:hAnsi="Calibri" w:cs="Calibri"/>
                <w:i/>
                <w:iCs/>
                <w:color w:val="C9A25C"/>
                <w:sz w:val="19"/>
                <w:szCs w:val="19"/>
                <w:lang w:val="fr-FR"/>
              </w:rPr>
              <w:t>Outil +</w:t>
            </w:r>
            <w:proofErr w:type="gramStart"/>
            <w:r w:rsidRPr="008308F6">
              <w:rPr>
                <w:rFonts w:ascii="Calibri" w:eastAsia="Calibri" w:hAnsi="Calibri" w:cs="Calibri"/>
                <w:i/>
                <w:iCs/>
                <w:color w:val="C9A25C"/>
                <w:sz w:val="19"/>
                <w:szCs w:val="19"/>
                <w:lang w:val="fr-FR"/>
              </w:rPr>
              <w:t>EECM  —</w:t>
            </w:r>
            <w:proofErr w:type="gramEnd"/>
            <w:r w:rsidRPr="008308F6">
              <w:rPr>
                <w:rFonts w:ascii="Calibri" w:eastAsia="Calibri" w:hAnsi="Calibri" w:cs="Calibri"/>
                <w:i/>
                <w:iCs/>
                <w:color w:val="C9A25C"/>
                <w:sz w:val="19"/>
                <w:szCs w:val="19"/>
                <w:lang w:val="fr-FR"/>
              </w:rPr>
              <w:t xml:space="preserve">  du démonstrateur ville par ville au projet Adaptation du débit d'instruction français</w:t>
            </w:r>
          </w:p>
        </w:tc>
      </w:tr>
    </w:tbl>
    <w:p w14:paraId="5E477751" w14:textId="77777777" w:rsidR="008E7E6D" w:rsidRPr="008308F6" w:rsidRDefault="00000000">
      <w:pPr>
        <w:spacing w:before="500" w:after="900"/>
        <w:rPr>
          <w:lang w:val="fr-FR"/>
        </w:rPr>
      </w:pPr>
      <w:r w:rsidRPr="008308F6">
        <w:rPr>
          <w:rFonts w:ascii="Calibri" w:eastAsia="Calibri" w:hAnsi="Calibri" w:cs="Calibri"/>
          <w:i/>
          <w:iCs/>
          <w:color w:val="555555"/>
          <w:sz w:val="19"/>
          <w:szCs w:val="19"/>
          <w:lang w:val="fr-FR"/>
        </w:rPr>
        <w:t>11 septembre 2026 · François Dorléans · Note de travail destinée aux décideurs publics, collectivités et industriels de la chaleur</w:t>
      </w:r>
    </w:p>
    <w:p w14:paraId="6E179D39" w14:textId="77777777" w:rsidR="008308F6" w:rsidRDefault="008308F6">
      <w:pPr>
        <w:spacing w:before="3200" w:after="60"/>
        <w:rPr>
          <w:rFonts w:ascii="Calibri" w:eastAsia="Calibri" w:hAnsi="Calibri" w:cs="Calibri"/>
          <w:i/>
          <w:iCs/>
          <w:color w:val="333333"/>
          <w:lang w:val="fr-FR"/>
        </w:rPr>
      </w:pPr>
    </w:p>
    <w:p w14:paraId="76B935B7" w14:textId="60350BEE" w:rsidR="008E7E6D" w:rsidRPr="008308F6" w:rsidRDefault="00000000">
      <w:pPr>
        <w:spacing w:before="3200" w:after="60"/>
        <w:rPr>
          <w:lang w:val="fr-FR"/>
        </w:rPr>
      </w:pPr>
      <w:r w:rsidRPr="008308F6">
        <w:rPr>
          <w:rFonts w:ascii="Calibri" w:eastAsia="Calibri" w:hAnsi="Calibri" w:cs="Calibri"/>
          <w:i/>
          <w:iCs/>
          <w:color w:val="333333"/>
          <w:lang w:val="fr-FR"/>
        </w:rPr>
        <w:t>Économie et adaptation de la géothermie</w:t>
      </w:r>
    </w:p>
    <w:p w14:paraId="3A4E9EC6" w14:textId="77777777" w:rsidR="008E7E6D" w:rsidRPr="008308F6" w:rsidRDefault="00000000">
      <w:pPr>
        <w:spacing w:after="60"/>
        <w:rPr>
          <w:lang w:val="fr-FR"/>
        </w:rPr>
      </w:pPr>
      <w:r w:rsidRPr="008308F6">
        <w:rPr>
          <w:rFonts w:ascii="Calibri" w:eastAsia="Calibri" w:hAnsi="Calibri" w:cs="Calibri"/>
          <w:b/>
          <w:bCs/>
          <w:color w:val="111111"/>
          <w:sz w:val="22"/>
          <w:szCs w:val="22"/>
          <w:lang w:val="fr-FR"/>
        </w:rPr>
        <w:t>François Dorléans</w:t>
      </w:r>
    </w:p>
    <w:p w14:paraId="752DDDFB" w14:textId="77777777" w:rsidR="008E7E6D" w:rsidRPr="008308F6" w:rsidRDefault="00000000">
      <w:pPr>
        <w:spacing w:after="220"/>
        <w:rPr>
          <w:lang w:val="fr-FR"/>
        </w:rPr>
      </w:pPr>
      <w:r w:rsidRPr="008308F6">
        <w:rPr>
          <w:rFonts w:ascii="Calibri" w:eastAsia="Calibri" w:hAnsi="Calibri" w:cs="Calibri"/>
          <w:i/>
          <w:iCs/>
          <w:color w:val="555555"/>
          <w:sz w:val="16"/>
          <w:szCs w:val="16"/>
          <w:lang w:val="fr-FR"/>
        </w:rPr>
        <w:t>Document mis en forme et structuré avec l'assistance de Claude (</w:t>
      </w:r>
      <w:proofErr w:type="spellStart"/>
      <w:r w:rsidRPr="008308F6">
        <w:rPr>
          <w:rFonts w:ascii="Calibri" w:eastAsia="Calibri" w:hAnsi="Calibri" w:cs="Calibri"/>
          <w:i/>
          <w:iCs/>
          <w:color w:val="555555"/>
          <w:sz w:val="16"/>
          <w:szCs w:val="16"/>
          <w:lang w:val="fr-FR"/>
        </w:rPr>
        <w:t>Anthropic</w:t>
      </w:r>
      <w:proofErr w:type="spellEnd"/>
      <w:r w:rsidRPr="008308F6">
        <w:rPr>
          <w:rFonts w:ascii="Calibri" w:eastAsia="Calibri" w:hAnsi="Calibri" w:cs="Calibri"/>
          <w:i/>
          <w:iCs/>
          <w:color w:val="555555"/>
          <w:sz w:val="16"/>
          <w:szCs w:val="16"/>
          <w:lang w:val="fr-FR"/>
        </w:rPr>
        <w:t>) ; analyse, sources, retour d'expérience et responsabilité éditoriale : François Dorléans, EngEthics Consulting.</w:t>
      </w:r>
    </w:p>
    <w:p w14:paraId="7BA9CE08" w14:textId="77777777" w:rsidR="008E7E6D" w:rsidRPr="008308F6" w:rsidRDefault="008E7E6D">
      <w:pPr>
        <w:pBdr>
          <w:bottom w:val="single" w:sz="8" w:space="1" w:color="1B3A54"/>
        </w:pBdr>
        <w:spacing w:after="200"/>
        <w:rPr>
          <w:lang w:val="fr-FR"/>
        </w:rPr>
      </w:pPr>
    </w:p>
    <w:p w14:paraId="3C51FFAB" w14:textId="77777777" w:rsidR="008E7E6D" w:rsidRPr="008308F6" w:rsidRDefault="00000000">
      <w:pPr>
        <w:spacing w:after="40"/>
        <w:rPr>
          <w:lang w:val="fr-FR"/>
        </w:rPr>
      </w:pPr>
      <w:r w:rsidRPr="008308F6">
        <w:rPr>
          <w:rFonts w:ascii="Calibri" w:eastAsia="Calibri" w:hAnsi="Calibri" w:cs="Calibri"/>
          <w:b/>
          <w:bCs/>
          <w:sz w:val="19"/>
          <w:szCs w:val="19"/>
          <w:lang w:val="fr-FR"/>
        </w:rPr>
        <w:t xml:space="preserve">Identifiant : </w:t>
      </w:r>
      <w:r w:rsidRPr="008308F6">
        <w:rPr>
          <w:rFonts w:ascii="Calibri" w:eastAsia="Calibri" w:hAnsi="Calibri" w:cs="Calibri"/>
          <w:sz w:val="19"/>
          <w:szCs w:val="19"/>
          <w:lang w:val="fr-FR"/>
        </w:rPr>
        <w:t>EE-NOTE-EECM-2026-001</w:t>
      </w:r>
    </w:p>
    <w:p w14:paraId="30CA1937" w14:textId="77777777" w:rsidR="008E7E6D" w:rsidRPr="008308F6" w:rsidRDefault="00000000">
      <w:pPr>
        <w:spacing w:after="40"/>
        <w:rPr>
          <w:lang w:val="fr-FR"/>
        </w:rPr>
      </w:pPr>
      <w:r w:rsidRPr="008308F6">
        <w:rPr>
          <w:rFonts w:ascii="Calibri" w:eastAsia="Calibri" w:hAnsi="Calibri" w:cs="Calibri"/>
          <w:b/>
          <w:bCs/>
          <w:sz w:val="19"/>
          <w:szCs w:val="19"/>
          <w:lang w:val="fr-FR"/>
        </w:rPr>
        <w:t xml:space="preserve">Révision : </w:t>
      </w:r>
      <w:r w:rsidRPr="008308F6">
        <w:rPr>
          <w:rFonts w:ascii="Calibri" w:eastAsia="Calibri" w:hAnsi="Calibri" w:cs="Calibri"/>
          <w:sz w:val="19"/>
          <w:szCs w:val="19"/>
          <w:lang w:val="fr-FR"/>
        </w:rPr>
        <w:t>2-C</w:t>
      </w:r>
    </w:p>
    <w:p w14:paraId="54362181" w14:textId="77777777" w:rsidR="008E7E6D" w:rsidRPr="008308F6" w:rsidRDefault="00000000">
      <w:pPr>
        <w:spacing w:after="40"/>
        <w:rPr>
          <w:lang w:val="fr-FR"/>
        </w:rPr>
      </w:pPr>
      <w:r w:rsidRPr="008308F6">
        <w:rPr>
          <w:rFonts w:ascii="Calibri" w:eastAsia="Calibri" w:hAnsi="Calibri" w:cs="Calibri"/>
          <w:b/>
          <w:bCs/>
          <w:sz w:val="19"/>
          <w:szCs w:val="19"/>
          <w:lang w:val="fr-FR"/>
        </w:rPr>
        <w:t xml:space="preserve">Date : </w:t>
      </w:r>
      <w:r w:rsidRPr="008308F6">
        <w:rPr>
          <w:rFonts w:ascii="Calibri" w:eastAsia="Calibri" w:hAnsi="Calibri" w:cs="Calibri"/>
          <w:sz w:val="19"/>
          <w:szCs w:val="19"/>
          <w:lang w:val="fr-FR"/>
        </w:rPr>
        <w:t>11/09/2026</w:t>
      </w:r>
    </w:p>
    <w:p w14:paraId="3BB0397D" w14:textId="77777777" w:rsidR="008E7E6D" w:rsidRPr="008308F6" w:rsidRDefault="00000000">
      <w:pPr>
        <w:spacing w:after="40"/>
        <w:rPr>
          <w:lang w:val="fr-FR"/>
        </w:rPr>
      </w:pPr>
      <w:r w:rsidRPr="008308F6">
        <w:rPr>
          <w:rFonts w:ascii="Calibri" w:eastAsia="Calibri" w:hAnsi="Calibri" w:cs="Calibri"/>
          <w:b/>
          <w:bCs/>
          <w:sz w:val="19"/>
          <w:szCs w:val="19"/>
          <w:lang w:val="fr-FR"/>
        </w:rPr>
        <w:t xml:space="preserve">Mots-clés : </w:t>
      </w:r>
      <w:r w:rsidRPr="008308F6">
        <w:rPr>
          <w:rFonts w:ascii="Calibri" w:eastAsia="Calibri" w:hAnsi="Calibri" w:cs="Calibri"/>
          <w:sz w:val="19"/>
          <w:szCs w:val="19"/>
          <w:lang w:val="fr-FR"/>
        </w:rPr>
        <w:t>géothermie, adaptation, massification, forage profond, ROI, ADEME, cadence industrielle, +EECM</w:t>
      </w:r>
    </w:p>
    <w:p w14:paraId="729A5244" w14:textId="77777777" w:rsidR="008E7E6D" w:rsidRPr="008308F6" w:rsidRDefault="008E7E6D">
      <w:pPr>
        <w:rPr>
          <w:lang w:val="fr-FR"/>
        </w:rPr>
        <w:sectPr w:rsidR="008E7E6D" w:rsidRPr="008308F6">
          <w:pgSz w:w="11906" w:h="16838"/>
          <w:pgMar w:top="1134" w:right="1134" w:bottom="1134" w:left="1134" w:header="708" w:footer="708" w:gutter="0"/>
          <w:cols w:space="720"/>
          <w:docGrid w:linePitch="360"/>
        </w:sectPr>
      </w:pPr>
    </w:p>
    <w:p w14:paraId="5FAB1B52" w14:textId="77777777" w:rsidR="008E7E6D" w:rsidRPr="008308F6" w:rsidRDefault="008E7E6D">
      <w:pPr>
        <w:rPr>
          <w:lang w:val="fr-FR"/>
        </w:rPr>
        <w:sectPr w:rsidR="008E7E6D" w:rsidRPr="008308F6">
          <w:headerReference w:type="default" r:id="rId7"/>
          <w:footerReference w:type="default" r:id="rId8"/>
          <w:pgSz w:w="11906" w:h="16838"/>
          <w:pgMar w:top="1134" w:right="1134" w:bottom="1134" w:left="1134" w:header="708" w:footer="708" w:gutter="0"/>
          <w:cols w:space="720"/>
          <w:docGrid w:linePitch="360"/>
        </w:sectPr>
      </w:pPr>
    </w:p>
    <w:p w14:paraId="4243F972" w14:textId="77777777" w:rsidR="008E7E6D" w:rsidRPr="008308F6" w:rsidRDefault="00000000">
      <w:pPr>
        <w:pStyle w:val="Heading1"/>
        <w:pBdr>
          <w:bottom w:val="single" w:sz="6" w:space="4" w:color="1B3A54"/>
        </w:pBdr>
        <w:spacing w:before="420" w:after="200"/>
        <w:rPr>
          <w:lang w:val="fr-FR"/>
        </w:rPr>
      </w:pPr>
      <w:bookmarkStart w:id="0" w:name="_Toc240015678"/>
      <w:r w:rsidRPr="008308F6">
        <w:rPr>
          <w:rFonts w:ascii="Calibri" w:eastAsia="Calibri" w:hAnsi="Calibri" w:cs="Calibri"/>
          <w:b/>
          <w:bCs/>
          <w:color w:val="1B3A54"/>
          <w:sz w:val="30"/>
          <w:szCs w:val="30"/>
          <w:lang w:val="fr-FR"/>
        </w:rPr>
        <w:lastRenderedPageBreak/>
        <w:t>1.  Thèse en une page</w:t>
      </w:r>
      <w:bookmarkEnd w:id="0"/>
    </w:p>
    <w:p w14:paraId="44C57064" w14:textId="77777777" w:rsidR="008E7E6D" w:rsidRPr="008308F6" w:rsidRDefault="00000000">
      <w:pPr>
        <w:spacing w:after="160" w:line="276" w:lineRule="auto"/>
        <w:jc w:val="both"/>
        <w:rPr>
          <w:lang w:val="fr-FR"/>
        </w:rPr>
      </w:pPr>
      <w:r w:rsidRPr="008308F6">
        <w:rPr>
          <w:rFonts w:ascii="Calibri" w:eastAsia="Calibri" w:hAnsi="Calibri" w:cs="Calibri"/>
          <w:color w:val="222222"/>
          <w:sz w:val="21"/>
          <w:szCs w:val="21"/>
          <w:lang w:val="fr-FR"/>
        </w:rPr>
        <w:t>La cessation commerciale de Celsius Energy (spin-off SLB, 2019–2026) n'est pas un échec de forage. C'est le diagnostic d'un marché trop mince, trop lent et trop exposé à l'instabilité des aides, alors même que la technique — forage en étoile transposé du pétrole — a déjà levé le verrou foncier urbain.</w:t>
      </w:r>
    </w:p>
    <w:p w14:paraId="65758E55" w14:textId="77777777" w:rsidR="008E7E6D" w:rsidRPr="008308F6" w:rsidRDefault="00000000">
      <w:pPr>
        <w:spacing w:after="160" w:line="276" w:lineRule="auto"/>
        <w:jc w:val="both"/>
        <w:rPr>
          <w:lang w:val="fr-FR"/>
        </w:rPr>
      </w:pPr>
      <w:r w:rsidRPr="008308F6">
        <w:rPr>
          <w:rFonts w:ascii="Calibri" w:eastAsia="Calibri" w:hAnsi="Calibri" w:cs="Calibri"/>
          <w:color w:val="222222"/>
          <w:sz w:val="21"/>
          <w:szCs w:val="21"/>
          <w:lang w:val="fr-FR"/>
        </w:rPr>
        <w:t>L'économie de la géothermie est simple : le forage concentre le capex ; l'exploitation concentre la rente. Tant que l'Europe reste en régime artisanal (peu de puits par an, équipes précaires, revues administratives de plusieurs mois), le coût au mètre ne descend pas, les formations ne s'amortissent pas et le personnel ne se fiabilise pas. La massification est donc le seul levier qui rend simultanément rentables les écoles de forage, stables les équipes et remarquable le ROI des maîtres d'ouvrage.</w:t>
      </w:r>
    </w:p>
    <w:p w14:paraId="69E24332" w14:textId="77777777" w:rsidR="008E7E6D" w:rsidRPr="008308F6" w:rsidRDefault="00000000">
      <w:pPr>
        <w:spacing w:after="160" w:line="276" w:lineRule="auto"/>
        <w:jc w:val="both"/>
        <w:rPr>
          <w:lang w:val="fr-FR"/>
        </w:rPr>
      </w:pPr>
      <w:r w:rsidRPr="008308F6">
        <w:rPr>
          <w:rFonts w:ascii="Calibri" w:eastAsia="Calibri" w:hAnsi="Calibri" w:cs="Calibri"/>
          <w:color w:val="222222"/>
          <w:sz w:val="21"/>
          <w:szCs w:val="21"/>
          <w:lang w:val="fr-FR"/>
        </w:rPr>
        <w:t>Rapportée à la France, cette équation appelle une clause de réalisme que la seule thèse de massification n'énonçait pas assez fermement. Une cadence de 300 à 500 forages par an, comparable à celle que l'opérateur national omanais fore chaque année, suppose un débit d'instruction administrative que la France n'atteint pas aujourd'hui : peu de dossiers déposés sont in fine approuvés, et ceux qui le sont franchissent des revues DREAL / ADEME / préfecture qui s'étalent sur plusieurs mois, parfois plus d'un an. Le goulot n'est donc plus, à ce stade, la ressource géologique ni la disponibilité des appareils : c'est le temps que prennent les dossiers pour sortir des services instructeurs. Afficher un objectif de cadence industrielle à l'omanaise sans agir d'abord sur ce débit revient à fixer un horizon inatteignable à court terme, et à décrédibiliser, par contrecoup, une filière qui a pourtant déjà démontré qu'elle savait forer proprement en milieu urbain.</w:t>
      </w:r>
    </w:p>
    <w:p w14:paraId="2838B9B8" w14:textId="77777777" w:rsidR="008E7E6D" w:rsidRPr="008308F6" w:rsidRDefault="00000000">
      <w:pPr>
        <w:spacing w:after="160" w:line="276" w:lineRule="auto"/>
        <w:jc w:val="both"/>
        <w:rPr>
          <w:lang w:val="fr-FR"/>
        </w:rPr>
      </w:pPr>
      <w:r w:rsidRPr="008308F6">
        <w:rPr>
          <w:rFonts w:ascii="Calibri" w:eastAsia="Calibri" w:hAnsi="Calibri" w:cs="Calibri"/>
          <w:color w:val="222222"/>
          <w:sz w:val="21"/>
          <w:szCs w:val="21"/>
          <w:lang w:val="fr-FR"/>
        </w:rPr>
        <w:t>Le projet qui en découle n'est donc plus seulement la massification : c'est l'adaptation. Adapter, ici, signifie ajuster délibérément la cadence de forage visée au débit réel d'instruction des dossiers, tout en agissant simultanément sur ce débit, plutôt que de promettre une cadence que l'appareil administratif ne peut pas absorber. La massification européenne (§8) reste l'horizon de moyen terme ; l'adaptation du débit d'instruction français (§5 et §6) en est la condition préalable de court terme.</w:t>
      </w:r>
    </w:p>
    <w:p w14:paraId="2339988B" w14:textId="77777777" w:rsidR="008E7E6D" w:rsidRPr="008308F6" w:rsidRDefault="00000000">
      <w:pPr>
        <w:spacing w:after="160" w:line="276" w:lineRule="auto"/>
        <w:jc w:val="both"/>
        <w:rPr>
          <w:lang w:val="fr-FR"/>
        </w:rPr>
      </w:pPr>
      <w:r w:rsidRPr="008308F6">
        <w:rPr>
          <w:rFonts w:ascii="Calibri" w:eastAsia="Calibri" w:hAnsi="Calibri" w:cs="Calibri"/>
          <w:color w:val="222222"/>
          <w:sz w:val="21"/>
          <w:szCs w:val="21"/>
          <w:lang w:val="fr-FR"/>
        </w:rPr>
        <w:t>Le projet +EECM (§7) sert à rendre l'équation économique lisible ville par ville : la dépense énergétique actuelle du parc immobilier est le prix payé, chaque année, pour l'absence de souveraineté. Le projet Adaptation en est le complément amont : il documente pourquoi la cadence administrative constitue aujourd'hui le verrou dominant, propose un protocole opérationnel simple pour le lever, et conditionne l'accès aux aides publiques à son adoption plutôt qu'à la seule taille du projet. L'investissement dans un système plus efficace et souverain se rembourse en moyenne en 10 à 20 ans — horizon compatible avec un mandat municipal, un bail tertiaire long et la durée de vie des sondes (40 à 80 ans) — à condition que le délai d'instruction ne vienne pas, lui-même, grever ce calcul (§9.3).</w:t>
      </w:r>
    </w:p>
    <w:tbl>
      <w:tblPr>
        <w:tblW w:w="9360" w:type="dxa"/>
        <w:tblBorders>
          <w:top w:val="single" w:sz="2" w:space="0" w:color="CCCCCC"/>
          <w:left w:val="single" w:sz="2" w:space="0" w:color="CCCCCC"/>
          <w:bottom w:val="single" w:sz="2" w:space="0" w:color="CCCCCC"/>
          <w:right w:val="single" w:sz="2" w:space="0" w:color="CCCCCC"/>
          <w:insideH w:val="single" w:sz="2" w:space="0" w:color="DDDDDD"/>
          <w:insideV w:val="single" w:sz="2" w:space="0" w:color="DDDDDD"/>
        </w:tblBorders>
        <w:tblCellMar>
          <w:left w:w="10" w:type="dxa"/>
          <w:right w:w="10" w:type="dxa"/>
        </w:tblCellMar>
        <w:tblLook w:val="04A0" w:firstRow="1" w:lastRow="0" w:firstColumn="1" w:lastColumn="0" w:noHBand="0" w:noVBand="1"/>
      </w:tblPr>
      <w:tblGrid>
        <w:gridCol w:w="3120"/>
        <w:gridCol w:w="3120"/>
        <w:gridCol w:w="3120"/>
      </w:tblGrid>
      <w:tr w:rsidR="008E7E6D" w14:paraId="5F2AF46C" w14:textId="77777777">
        <w:tblPrEx>
          <w:tblCellMar>
            <w:top w:w="0" w:type="dxa"/>
            <w:bottom w:w="0" w:type="dxa"/>
          </w:tblCellMar>
        </w:tblPrEx>
        <w:trPr>
          <w:tblHeader/>
        </w:trPr>
        <w:tc>
          <w:tcPr>
            <w:tcW w:w="3120" w:type="dxa"/>
            <w:shd w:val="clear" w:color="auto" w:fill="A94438"/>
            <w:tcMar>
              <w:top w:w="80" w:type="dxa"/>
              <w:left w:w="100" w:type="dxa"/>
              <w:bottom w:w="80" w:type="dxa"/>
              <w:right w:w="100" w:type="dxa"/>
            </w:tcMar>
            <w:vAlign w:val="center"/>
          </w:tcPr>
          <w:p w14:paraId="739DD805" w14:textId="77777777" w:rsidR="008E7E6D" w:rsidRDefault="00000000">
            <w:pPr>
              <w:jc w:val="center"/>
            </w:pPr>
            <w:r>
              <w:rPr>
                <w:rFonts w:ascii="Calibri" w:eastAsia="Calibri" w:hAnsi="Calibri" w:cs="Calibri"/>
                <w:b/>
                <w:bCs/>
                <w:color w:val="FFFFFF"/>
                <w:sz w:val="18"/>
                <w:szCs w:val="18"/>
              </w:rPr>
              <w:t>CONSTAT</w:t>
            </w:r>
          </w:p>
        </w:tc>
        <w:tc>
          <w:tcPr>
            <w:tcW w:w="3120" w:type="dxa"/>
            <w:shd w:val="clear" w:color="auto" w:fill="C98A2E"/>
            <w:tcMar>
              <w:top w:w="80" w:type="dxa"/>
              <w:left w:w="100" w:type="dxa"/>
              <w:bottom w:w="80" w:type="dxa"/>
              <w:right w:w="100" w:type="dxa"/>
            </w:tcMar>
            <w:vAlign w:val="center"/>
          </w:tcPr>
          <w:p w14:paraId="09753B9E" w14:textId="77777777" w:rsidR="008E7E6D" w:rsidRDefault="00000000">
            <w:pPr>
              <w:jc w:val="center"/>
            </w:pPr>
            <w:r>
              <w:rPr>
                <w:rFonts w:ascii="Calibri" w:eastAsia="Calibri" w:hAnsi="Calibri" w:cs="Calibri"/>
                <w:b/>
                <w:bCs/>
                <w:color w:val="FFFFFF"/>
                <w:sz w:val="18"/>
                <w:szCs w:val="18"/>
              </w:rPr>
              <w:t>VERROU</w:t>
            </w:r>
          </w:p>
        </w:tc>
        <w:tc>
          <w:tcPr>
            <w:tcW w:w="3120" w:type="dxa"/>
            <w:shd w:val="clear" w:color="auto" w:fill="2E7D5B"/>
            <w:tcMar>
              <w:top w:w="80" w:type="dxa"/>
              <w:left w:w="100" w:type="dxa"/>
              <w:bottom w:w="80" w:type="dxa"/>
              <w:right w:w="100" w:type="dxa"/>
            </w:tcMar>
            <w:vAlign w:val="center"/>
          </w:tcPr>
          <w:p w14:paraId="717CE35A" w14:textId="77777777" w:rsidR="008E7E6D" w:rsidRDefault="00000000">
            <w:pPr>
              <w:jc w:val="center"/>
            </w:pPr>
            <w:r>
              <w:rPr>
                <w:rFonts w:ascii="Calibri" w:eastAsia="Calibri" w:hAnsi="Calibri" w:cs="Calibri"/>
                <w:b/>
                <w:bCs/>
                <w:color w:val="FFFFFF"/>
                <w:sz w:val="18"/>
                <w:szCs w:val="18"/>
              </w:rPr>
              <w:t>SORTIE</w:t>
            </w:r>
          </w:p>
        </w:tc>
      </w:tr>
      <w:tr w:rsidR="008E7E6D" w:rsidRPr="008308F6" w14:paraId="48ACDB0E" w14:textId="77777777">
        <w:tblPrEx>
          <w:tblCellMar>
            <w:top w:w="0" w:type="dxa"/>
            <w:bottom w:w="0" w:type="dxa"/>
          </w:tblCellMar>
        </w:tblPrEx>
        <w:tc>
          <w:tcPr>
            <w:tcW w:w="3120" w:type="dxa"/>
            <w:tcMar>
              <w:top w:w="80" w:type="dxa"/>
              <w:left w:w="100" w:type="dxa"/>
              <w:bottom w:w="80" w:type="dxa"/>
              <w:right w:w="100" w:type="dxa"/>
            </w:tcMar>
          </w:tcPr>
          <w:p w14:paraId="0DEFAF53" w14:textId="77777777" w:rsidR="008E7E6D" w:rsidRPr="008308F6" w:rsidRDefault="00000000">
            <w:pPr>
              <w:rPr>
                <w:lang w:val="fr-FR"/>
              </w:rPr>
            </w:pPr>
            <w:r w:rsidRPr="008308F6">
              <w:rPr>
                <w:rFonts w:ascii="Calibri" w:eastAsia="Calibri" w:hAnsi="Calibri" w:cs="Calibri"/>
                <w:color w:val="222222"/>
                <w:sz w:val="18"/>
                <w:szCs w:val="18"/>
                <w:lang w:val="fr-FR"/>
              </w:rPr>
              <w:t>Marché trop lent. Celsius Energy arrête le commercial malgré une techno pétrolière éprouvée. Cadence technique visée (300–500 forages/an, référence Oman) très supérieure au débit réel d'instruction des dossiers en France.</w:t>
            </w:r>
          </w:p>
        </w:tc>
        <w:tc>
          <w:tcPr>
            <w:tcW w:w="3120" w:type="dxa"/>
            <w:tcMar>
              <w:top w:w="80" w:type="dxa"/>
              <w:left w:w="100" w:type="dxa"/>
              <w:bottom w:w="80" w:type="dxa"/>
              <w:right w:w="100" w:type="dxa"/>
            </w:tcMar>
          </w:tcPr>
          <w:p w14:paraId="3F25BFB2" w14:textId="77777777" w:rsidR="008E7E6D" w:rsidRPr="008308F6" w:rsidRDefault="00000000">
            <w:pPr>
              <w:rPr>
                <w:lang w:val="fr-FR"/>
              </w:rPr>
            </w:pPr>
            <w:r w:rsidRPr="008308F6">
              <w:rPr>
                <w:rFonts w:ascii="Calibri" w:eastAsia="Calibri" w:hAnsi="Calibri" w:cs="Calibri"/>
                <w:color w:val="222222"/>
                <w:sz w:val="18"/>
                <w:szCs w:val="18"/>
                <w:lang w:val="fr-FR"/>
              </w:rPr>
              <w:t>Capex forage + instabilité des aides + délais DREAL/ADEME/préfecture (souvent ~18 mois en profond) + décision maître d'ouvrage allongée + absence de méthode de vérification fondée sur le terrain.</w:t>
            </w:r>
          </w:p>
        </w:tc>
        <w:tc>
          <w:tcPr>
            <w:tcW w:w="3120" w:type="dxa"/>
            <w:tcMar>
              <w:top w:w="80" w:type="dxa"/>
              <w:left w:w="100" w:type="dxa"/>
              <w:bottom w:w="80" w:type="dxa"/>
              <w:right w:w="100" w:type="dxa"/>
            </w:tcMar>
          </w:tcPr>
          <w:p w14:paraId="2637E083" w14:textId="77777777" w:rsidR="008E7E6D" w:rsidRPr="008308F6" w:rsidRDefault="00000000">
            <w:pPr>
              <w:rPr>
                <w:lang w:val="fr-FR"/>
              </w:rPr>
            </w:pPr>
            <w:r w:rsidRPr="008308F6">
              <w:rPr>
                <w:rFonts w:ascii="Calibri" w:eastAsia="Calibri" w:hAnsi="Calibri" w:cs="Calibri"/>
                <w:color w:val="222222"/>
                <w:sz w:val="18"/>
                <w:szCs w:val="18"/>
                <w:lang w:val="fr-FR"/>
              </w:rPr>
              <w:t>Adaptation du débit d'instruction (SOP conditionnant les aides, revues accélérées) puis Massification Europe. Cadence phasée, formations amorties, +EECM ville par ville, ROI 10–20 ans.</w:t>
            </w:r>
          </w:p>
        </w:tc>
      </w:tr>
    </w:tbl>
    <w:p w14:paraId="2A5C7D48" w14:textId="77777777" w:rsidR="008E7E6D" w:rsidRPr="008308F6" w:rsidRDefault="00000000">
      <w:pPr>
        <w:pStyle w:val="Heading1"/>
        <w:pBdr>
          <w:bottom w:val="single" w:sz="6" w:space="4" w:color="1B3A54"/>
        </w:pBdr>
        <w:spacing w:before="420" w:after="200"/>
        <w:rPr>
          <w:lang w:val="fr-FR"/>
        </w:rPr>
      </w:pPr>
      <w:bookmarkStart w:id="1" w:name="_Toc240015679"/>
      <w:r w:rsidRPr="008308F6">
        <w:rPr>
          <w:rFonts w:ascii="Calibri" w:eastAsia="Calibri" w:hAnsi="Calibri" w:cs="Calibri"/>
          <w:b/>
          <w:bCs/>
          <w:color w:val="1B3A54"/>
          <w:sz w:val="30"/>
          <w:szCs w:val="30"/>
          <w:lang w:val="fr-FR"/>
        </w:rPr>
        <w:t>2.  Leçon Celsius Energy — faits à reprendre</w:t>
      </w:r>
      <w:bookmarkEnd w:id="1"/>
    </w:p>
    <w:p w14:paraId="393EFACA" w14:textId="77777777" w:rsidR="008E7E6D" w:rsidRPr="008308F6" w:rsidRDefault="00000000">
      <w:pPr>
        <w:spacing w:after="160" w:line="276" w:lineRule="auto"/>
        <w:jc w:val="both"/>
        <w:rPr>
          <w:lang w:val="fr-FR"/>
        </w:rPr>
      </w:pPr>
      <w:r w:rsidRPr="008308F6">
        <w:rPr>
          <w:rFonts w:ascii="Calibri" w:eastAsia="Calibri" w:hAnsi="Calibri" w:cs="Calibri"/>
          <w:color w:val="222222"/>
          <w:sz w:val="21"/>
          <w:szCs w:val="21"/>
          <w:lang w:val="fr-FR"/>
        </w:rPr>
        <w:t>Source de référence : Valentin Hamon-Beugin, L'Usine Nouvelle, Paris, 10 septembre 2026. Compléments financiers et réalisations issus du dossier public et des comptes 2024.</w:t>
      </w:r>
    </w:p>
    <w:p w14:paraId="4027E3BC" w14:textId="77777777" w:rsidR="008E7E6D" w:rsidRPr="008308F6" w:rsidRDefault="00000000">
      <w:pPr>
        <w:spacing w:before="260" w:after="120"/>
        <w:rPr>
          <w:lang w:val="fr-FR"/>
        </w:rPr>
      </w:pPr>
      <w:proofErr w:type="gramStart"/>
      <w:r w:rsidRPr="008308F6">
        <w:rPr>
          <w:rFonts w:ascii="Calibri" w:eastAsia="Calibri" w:hAnsi="Calibri" w:cs="Calibri"/>
          <w:b/>
          <w:bCs/>
          <w:color w:val="1F6F5C"/>
          <w:sz w:val="24"/>
          <w:szCs w:val="24"/>
          <w:lang w:val="fr-FR"/>
        </w:rPr>
        <w:lastRenderedPageBreak/>
        <w:t>2.1  Décision</w:t>
      </w:r>
      <w:proofErr w:type="gramEnd"/>
      <w:r w:rsidRPr="008308F6">
        <w:rPr>
          <w:rFonts w:ascii="Calibri" w:eastAsia="Calibri" w:hAnsi="Calibri" w:cs="Calibri"/>
          <w:b/>
          <w:bCs/>
          <w:color w:val="1F6F5C"/>
          <w:sz w:val="24"/>
          <w:szCs w:val="24"/>
          <w:lang w:val="fr-FR"/>
        </w:rPr>
        <w:t xml:space="preserve"> et diagnostic de marché</w:t>
      </w:r>
    </w:p>
    <w:p w14:paraId="555880A8" w14:textId="77777777" w:rsidR="008E7E6D" w:rsidRPr="008308F6" w:rsidRDefault="00000000">
      <w:pPr>
        <w:spacing w:after="160" w:line="276" w:lineRule="auto"/>
        <w:jc w:val="both"/>
        <w:rPr>
          <w:lang w:val="fr-FR"/>
        </w:rPr>
      </w:pPr>
      <w:r w:rsidRPr="008308F6">
        <w:rPr>
          <w:rFonts w:ascii="Calibri" w:eastAsia="Calibri" w:hAnsi="Calibri" w:cs="Calibri"/>
          <w:color w:val="222222"/>
          <w:sz w:val="21"/>
          <w:szCs w:val="21"/>
          <w:lang w:val="fr-FR"/>
        </w:rPr>
        <w:t>Filiale française de géothermie de surface, née en 2019 comme scission interne de SLB (Schlumberger). Arrêt de l'activité commerciale confirmé début septembre 2026 ; engagement de terminer les chantiers déjà contractés.</w:t>
      </w:r>
    </w:p>
    <w:p w14:paraId="3F4C934F" w14:textId="77777777" w:rsidR="008E7E6D" w:rsidRPr="008308F6" w:rsidRDefault="00000000">
      <w:pPr>
        <w:spacing w:after="160" w:line="276" w:lineRule="auto"/>
        <w:jc w:val="both"/>
        <w:rPr>
          <w:lang w:val="fr-FR"/>
        </w:rPr>
      </w:pPr>
      <w:r w:rsidRPr="008308F6">
        <w:rPr>
          <w:rFonts w:ascii="Calibri" w:eastAsia="Calibri" w:hAnsi="Calibri" w:cs="Calibri"/>
          <w:sz w:val="21"/>
          <w:szCs w:val="21"/>
          <w:lang w:val="fr-FR"/>
        </w:rPr>
        <w:t xml:space="preserve">Cindy Demichel, présidente : « </w:t>
      </w:r>
      <w:r w:rsidRPr="008308F6">
        <w:rPr>
          <w:rFonts w:ascii="Calibri" w:eastAsia="Calibri" w:hAnsi="Calibri" w:cs="Calibri"/>
          <w:i/>
          <w:iCs/>
          <w:sz w:val="21"/>
          <w:szCs w:val="21"/>
          <w:lang w:val="fr-FR"/>
        </w:rPr>
        <w:t>Le marché de la géothermie ne décolle pas assez.</w:t>
      </w:r>
      <w:r w:rsidRPr="008308F6">
        <w:rPr>
          <w:rFonts w:ascii="Calibri" w:eastAsia="Calibri" w:hAnsi="Calibri" w:cs="Calibri"/>
          <w:sz w:val="21"/>
          <w:szCs w:val="21"/>
          <w:lang w:val="fr-FR"/>
        </w:rPr>
        <w:t xml:space="preserve"> » Diagnostic d'insuffisance de marché, pas d'échec technique.</w:t>
      </w:r>
    </w:p>
    <w:p w14:paraId="77BC1536" w14:textId="77777777" w:rsidR="008E7E6D" w:rsidRPr="008308F6" w:rsidRDefault="00000000">
      <w:pPr>
        <w:spacing w:after="160" w:line="276" w:lineRule="auto"/>
        <w:jc w:val="both"/>
        <w:rPr>
          <w:lang w:val="fr-FR"/>
        </w:rPr>
      </w:pPr>
      <w:r w:rsidRPr="008308F6">
        <w:rPr>
          <w:rFonts w:ascii="Calibri" w:eastAsia="Calibri" w:hAnsi="Calibri" w:cs="Calibri"/>
          <w:color w:val="222222"/>
          <w:sz w:val="21"/>
          <w:szCs w:val="21"/>
          <w:lang w:val="fr-FR"/>
        </w:rPr>
        <w:t xml:space="preserve">Même constat filtré dès mai 2026 chez </w:t>
      </w:r>
      <w:proofErr w:type="spellStart"/>
      <w:r w:rsidRPr="008308F6">
        <w:rPr>
          <w:rFonts w:ascii="Calibri" w:eastAsia="Calibri" w:hAnsi="Calibri" w:cs="Calibri"/>
          <w:color w:val="222222"/>
          <w:sz w:val="21"/>
          <w:szCs w:val="21"/>
          <w:lang w:val="fr-FR"/>
        </w:rPr>
        <w:t>GreenUnivers</w:t>
      </w:r>
      <w:proofErr w:type="spellEnd"/>
      <w:r w:rsidRPr="008308F6">
        <w:rPr>
          <w:rFonts w:ascii="Calibri" w:eastAsia="Calibri" w:hAnsi="Calibri" w:cs="Calibri"/>
          <w:color w:val="222222"/>
          <w:sz w:val="21"/>
          <w:szCs w:val="21"/>
          <w:lang w:val="fr-FR"/>
        </w:rPr>
        <w:t xml:space="preserve"> : trop peu de projets au regard du plan de marche ; délais trop longs pour les faire sortir de terre. Environ 100 salariés à reclasser progressivement dans SLB ou à licencier.</w:t>
      </w:r>
    </w:p>
    <w:p w14:paraId="0586BED1" w14:textId="77777777" w:rsidR="008E7E6D" w:rsidRPr="008308F6" w:rsidRDefault="00000000">
      <w:pPr>
        <w:spacing w:after="160" w:line="276" w:lineRule="auto"/>
        <w:jc w:val="both"/>
        <w:rPr>
          <w:lang w:val="fr-FR"/>
        </w:rPr>
      </w:pPr>
      <w:r w:rsidRPr="008308F6">
        <w:rPr>
          <w:rFonts w:ascii="Calibri" w:eastAsia="Calibri" w:hAnsi="Calibri" w:cs="Calibri"/>
          <w:color w:val="222222"/>
          <w:sz w:val="21"/>
          <w:szCs w:val="21"/>
          <w:lang w:val="fr-FR"/>
        </w:rPr>
        <w:t>Comptes 2024 : CA 12,36 M€ (contre 7,03 M€ en 2023), perte nette 6,90 M€, capital social 33,01 M€. Continuation votée le 20 juin 2025 malgré des capitaux propres inférieurs à la moitié du capital. Siège transféré à Clamart (1, rue Henri Becquerel) le 22 octobre 2025.</w:t>
      </w:r>
    </w:p>
    <w:p w14:paraId="1D5317B1" w14:textId="77777777" w:rsidR="008E7E6D" w:rsidRPr="008308F6" w:rsidRDefault="00000000">
      <w:pPr>
        <w:spacing w:before="260" w:after="120"/>
        <w:rPr>
          <w:lang w:val="fr-FR"/>
        </w:rPr>
      </w:pPr>
      <w:proofErr w:type="gramStart"/>
      <w:r w:rsidRPr="008308F6">
        <w:rPr>
          <w:rFonts w:ascii="Calibri" w:eastAsia="Calibri" w:hAnsi="Calibri" w:cs="Calibri"/>
          <w:b/>
          <w:bCs/>
          <w:color w:val="1F6F5C"/>
          <w:sz w:val="24"/>
          <w:szCs w:val="24"/>
          <w:lang w:val="fr-FR"/>
        </w:rPr>
        <w:t>2.2  Causes</w:t>
      </w:r>
      <w:proofErr w:type="gramEnd"/>
      <w:r w:rsidRPr="008308F6">
        <w:rPr>
          <w:rFonts w:ascii="Calibri" w:eastAsia="Calibri" w:hAnsi="Calibri" w:cs="Calibri"/>
          <w:b/>
          <w:bCs/>
          <w:color w:val="1F6F5C"/>
          <w:sz w:val="24"/>
          <w:szCs w:val="24"/>
          <w:lang w:val="fr-FR"/>
        </w:rPr>
        <w:t xml:space="preserve"> énoncées — pas la technique</w:t>
      </w:r>
    </w:p>
    <w:p w14:paraId="17C0AAE2" w14:textId="77777777" w:rsidR="008E7E6D" w:rsidRPr="008308F6" w:rsidRDefault="00000000">
      <w:pPr>
        <w:spacing w:after="160" w:line="276" w:lineRule="auto"/>
        <w:jc w:val="both"/>
        <w:rPr>
          <w:lang w:val="fr-FR"/>
        </w:rPr>
      </w:pPr>
      <w:r w:rsidRPr="008308F6">
        <w:rPr>
          <w:rFonts w:ascii="Calibri" w:eastAsia="Calibri" w:hAnsi="Calibri" w:cs="Calibri"/>
          <w:color w:val="222222"/>
          <w:sz w:val="21"/>
          <w:szCs w:val="21"/>
          <w:lang w:val="fr-FR"/>
        </w:rPr>
        <w:t>Les mesures de soutien sectorielles des derniers mois n'ont pas compensé l'instabilité des aides publiques. Les clients potentiels reculent devant le coût d'investissement initial, essentiellement porté par le forage, même lorsque l'exploitation devient rentable sur le long terme.</w:t>
      </w:r>
    </w:p>
    <w:p w14:paraId="556861D0" w14:textId="77777777" w:rsidR="008E7E6D" w:rsidRPr="008308F6" w:rsidRDefault="00000000">
      <w:pPr>
        <w:spacing w:after="160" w:line="276" w:lineRule="auto"/>
        <w:jc w:val="both"/>
        <w:rPr>
          <w:lang w:val="fr-FR"/>
        </w:rPr>
      </w:pPr>
      <w:r w:rsidRPr="008308F6">
        <w:rPr>
          <w:rFonts w:ascii="Calibri" w:eastAsia="Calibri" w:hAnsi="Calibri" w:cs="Calibri"/>
          <w:color w:val="222222"/>
          <w:sz w:val="21"/>
          <w:szCs w:val="21"/>
          <w:lang w:val="fr-FR"/>
        </w:rPr>
        <w:t xml:space="preserve">En France, l'attentisme politique a, selon C. </w:t>
      </w:r>
      <w:proofErr w:type="spellStart"/>
      <w:r w:rsidRPr="008308F6">
        <w:rPr>
          <w:rFonts w:ascii="Calibri" w:eastAsia="Calibri" w:hAnsi="Calibri" w:cs="Calibri"/>
          <w:color w:val="222222"/>
          <w:sz w:val="21"/>
          <w:szCs w:val="21"/>
          <w:lang w:val="fr-FR"/>
        </w:rPr>
        <w:t>Demichel</w:t>
      </w:r>
      <w:proofErr w:type="spellEnd"/>
      <w:r w:rsidRPr="008308F6">
        <w:rPr>
          <w:rFonts w:ascii="Calibri" w:eastAsia="Calibri" w:hAnsi="Calibri" w:cs="Calibri"/>
          <w:color w:val="222222"/>
          <w:sz w:val="21"/>
          <w:szCs w:val="21"/>
          <w:lang w:val="fr-FR"/>
        </w:rPr>
        <w:t>, doublé le temps de décision des maîtres d'ouvrage ; 2025 est qualifiée d'année « très compliquée ». Le Fonds chaleur ADEME, un temps menacé, a été maintenu, mais ses modalités d'emploi sont susceptibles de se durcir ; le Fonds vert des collectivités a failli disparaître, ce qui a figé des arbitrages.</w:t>
      </w:r>
    </w:p>
    <w:p w14:paraId="207D4DDE" w14:textId="77777777" w:rsidR="008E7E6D" w:rsidRPr="008308F6" w:rsidRDefault="00000000">
      <w:pPr>
        <w:spacing w:after="160" w:line="276" w:lineRule="auto"/>
        <w:jc w:val="both"/>
        <w:rPr>
          <w:lang w:val="fr-FR"/>
        </w:rPr>
      </w:pPr>
      <w:r w:rsidRPr="008308F6">
        <w:rPr>
          <w:rFonts w:ascii="Calibri" w:eastAsia="Calibri" w:hAnsi="Calibri" w:cs="Calibri"/>
          <w:color w:val="222222"/>
          <w:sz w:val="21"/>
          <w:szCs w:val="21"/>
          <w:lang w:val="fr-FR"/>
        </w:rPr>
        <w:t>Aux États-Unis, un « changement de paradigme » des politiques de durabilité des entreprises privées s'est opéré « de façon directe et brutale » ; l'administration favorise surtout la géothermie profonde à très haute température (électricité, datacenters), pas la géothermie de surface. Les canicules de l'été 2026 mettent en lumière le besoin de froid durable, mais « le regain d'intérêt ne se manifeste pas toujours par une prise de décision ».</w:t>
      </w:r>
    </w:p>
    <w:p w14:paraId="0221074F" w14:textId="77777777" w:rsidR="008E7E6D" w:rsidRPr="008308F6" w:rsidRDefault="00000000">
      <w:pPr>
        <w:spacing w:before="260" w:after="120"/>
        <w:rPr>
          <w:lang w:val="fr-FR"/>
        </w:rPr>
      </w:pPr>
      <w:proofErr w:type="gramStart"/>
      <w:r w:rsidRPr="008308F6">
        <w:rPr>
          <w:rFonts w:ascii="Calibri" w:eastAsia="Calibri" w:hAnsi="Calibri" w:cs="Calibri"/>
          <w:b/>
          <w:bCs/>
          <w:color w:val="1F6F5C"/>
          <w:sz w:val="24"/>
          <w:szCs w:val="24"/>
          <w:lang w:val="fr-FR"/>
        </w:rPr>
        <w:t>2.3  Ce</w:t>
      </w:r>
      <w:proofErr w:type="gramEnd"/>
      <w:r w:rsidRPr="008308F6">
        <w:rPr>
          <w:rFonts w:ascii="Calibri" w:eastAsia="Calibri" w:hAnsi="Calibri" w:cs="Calibri"/>
          <w:b/>
          <w:bCs/>
          <w:color w:val="1F6F5C"/>
          <w:sz w:val="24"/>
          <w:szCs w:val="24"/>
          <w:lang w:val="fr-FR"/>
        </w:rPr>
        <w:t xml:space="preserve"> que la technique avait déjà résolu</w:t>
      </w:r>
    </w:p>
    <w:p w14:paraId="48220404" w14:textId="77777777" w:rsidR="008E7E6D" w:rsidRPr="008308F6" w:rsidRDefault="00000000">
      <w:pPr>
        <w:spacing w:after="160" w:line="276" w:lineRule="auto"/>
        <w:jc w:val="both"/>
        <w:rPr>
          <w:lang w:val="fr-FR"/>
        </w:rPr>
      </w:pPr>
      <w:r w:rsidRPr="008308F6">
        <w:rPr>
          <w:rFonts w:ascii="Calibri" w:eastAsia="Calibri" w:hAnsi="Calibri" w:cs="Calibri"/>
          <w:color w:val="222222"/>
          <w:sz w:val="21"/>
          <w:szCs w:val="21"/>
          <w:lang w:val="fr-FR"/>
        </w:rPr>
        <w:t>Innovation distinctive : forage en étoile transposé de l'industrie pétrolière. Depuis un point unique, plusieurs forages inclinés se déploient en éventail jusqu'à environ 200 m, dans une roche à 12–15 °C, avec sondes en double U et fluide caloporteur en boucle fermée. Emprise au sol divisée par 10 par rapport à un champ de sondes verticales classiques, parfois ramenée à une vingtaine de mètres carrés — intervention possible au pied d'un immeuble existant.</w:t>
      </w:r>
    </w:p>
    <w:p w14:paraId="5C00EEA3" w14:textId="77777777" w:rsidR="008E7E6D" w:rsidRPr="008308F6" w:rsidRDefault="00000000">
      <w:pPr>
        <w:spacing w:after="160" w:line="276" w:lineRule="auto"/>
        <w:jc w:val="both"/>
        <w:rPr>
          <w:lang w:val="fr-FR"/>
        </w:rPr>
      </w:pPr>
      <w:r w:rsidRPr="008308F6">
        <w:rPr>
          <w:rFonts w:ascii="Calibri" w:eastAsia="Calibri" w:hAnsi="Calibri" w:cs="Calibri"/>
          <w:color w:val="222222"/>
          <w:sz w:val="21"/>
          <w:szCs w:val="21"/>
          <w:lang w:val="fr-FR"/>
        </w:rPr>
        <w:t>Réalisations citées : nouvel atelier Framatome du Creusot (internes de cuves EPR2) ; boucle de Ferney-Voltaire / Pays de Gex (173 puits jusqu'à 230 m, 40 km de forages, 30 M€, récupération de chaleur fatale du CERN) ; résidence sociale Le Vulcain à Nîmes (133 logements) ; siège Banque Populaire Auvergne Rhône-Alpes à Corenc (7 680 m²). Opérations également au Royaume-Uni et aux États-Unis.</w:t>
      </w:r>
    </w:p>
    <w:p w14:paraId="2ACFC440" w14:textId="6ACD4A89" w:rsidR="008308F6" w:rsidRDefault="00000000">
      <w:pPr>
        <w:spacing w:after="160" w:line="276" w:lineRule="auto"/>
        <w:jc w:val="both"/>
        <w:rPr>
          <w:rFonts w:ascii="Calibri" w:eastAsia="Calibri" w:hAnsi="Calibri" w:cs="Calibri"/>
          <w:color w:val="222222"/>
          <w:sz w:val="21"/>
          <w:szCs w:val="21"/>
          <w:lang w:val="fr-FR"/>
        </w:rPr>
      </w:pPr>
      <w:r w:rsidRPr="008308F6">
        <w:rPr>
          <w:rFonts w:ascii="Calibri" w:eastAsia="Calibri" w:hAnsi="Calibri" w:cs="Calibri"/>
          <w:color w:val="222222"/>
          <w:sz w:val="21"/>
          <w:szCs w:val="21"/>
          <w:lang w:val="fr-FR"/>
        </w:rPr>
        <w:t>Conclusion opérationnelle : la technologie réduisait un vrai verrou foncier urbain. Elle n'a pas surmonté le couple coût d'entrée élevé + instabilité des dispositifs d'aide, qui allonge les cycles de décision au-delà de la capacité d'une filiale encore en phase d'industrialisation.</w:t>
      </w:r>
    </w:p>
    <w:p w14:paraId="2573E963" w14:textId="4C8FC128" w:rsidR="008E7E6D" w:rsidRPr="008308F6" w:rsidRDefault="008308F6" w:rsidP="008308F6">
      <w:pPr>
        <w:rPr>
          <w:rFonts w:ascii="Calibri" w:eastAsia="Calibri" w:hAnsi="Calibri" w:cs="Calibri"/>
          <w:color w:val="222222"/>
          <w:sz w:val="21"/>
          <w:szCs w:val="21"/>
          <w:lang w:val="fr-FR"/>
        </w:rPr>
      </w:pPr>
      <w:r>
        <w:rPr>
          <w:rFonts w:ascii="Calibri" w:eastAsia="Calibri" w:hAnsi="Calibri" w:cs="Calibri"/>
          <w:color w:val="222222"/>
          <w:sz w:val="21"/>
          <w:szCs w:val="21"/>
          <w:lang w:val="fr-FR"/>
        </w:rPr>
        <w:br w:type="page"/>
      </w:r>
    </w:p>
    <w:p w14:paraId="7FA88757" w14:textId="77777777" w:rsidR="008E7E6D" w:rsidRPr="008308F6" w:rsidRDefault="00000000">
      <w:pPr>
        <w:pStyle w:val="Heading1"/>
        <w:pBdr>
          <w:bottom w:val="single" w:sz="6" w:space="4" w:color="1B3A54"/>
        </w:pBdr>
        <w:spacing w:before="420" w:after="200"/>
        <w:rPr>
          <w:lang w:val="fr-FR"/>
        </w:rPr>
      </w:pPr>
      <w:bookmarkStart w:id="2" w:name="_Toc240015680"/>
      <w:r w:rsidRPr="008308F6">
        <w:rPr>
          <w:rFonts w:ascii="Calibri" w:eastAsia="Calibri" w:hAnsi="Calibri" w:cs="Calibri"/>
          <w:b/>
          <w:bCs/>
          <w:color w:val="1B3A54"/>
          <w:sz w:val="30"/>
          <w:szCs w:val="30"/>
          <w:lang w:val="fr-FR"/>
        </w:rPr>
        <w:lastRenderedPageBreak/>
        <w:t>3.  Économie générale de la géothermie</w:t>
      </w:r>
      <w:bookmarkEnd w:id="2"/>
    </w:p>
    <w:p w14:paraId="7F5D085E" w14:textId="77777777" w:rsidR="008E7E6D" w:rsidRPr="008308F6" w:rsidRDefault="00000000">
      <w:pPr>
        <w:spacing w:before="260" w:after="120"/>
        <w:rPr>
          <w:lang w:val="fr-FR"/>
        </w:rPr>
      </w:pPr>
      <w:proofErr w:type="gramStart"/>
      <w:r w:rsidRPr="008308F6">
        <w:rPr>
          <w:rFonts w:ascii="Calibri" w:eastAsia="Calibri" w:hAnsi="Calibri" w:cs="Calibri"/>
          <w:b/>
          <w:bCs/>
          <w:color w:val="1F6F5C"/>
          <w:sz w:val="24"/>
          <w:szCs w:val="24"/>
          <w:lang w:val="fr-FR"/>
        </w:rPr>
        <w:t>3.1  Trois</w:t>
      </w:r>
      <w:proofErr w:type="gramEnd"/>
      <w:r w:rsidRPr="008308F6">
        <w:rPr>
          <w:rFonts w:ascii="Calibri" w:eastAsia="Calibri" w:hAnsi="Calibri" w:cs="Calibri"/>
          <w:b/>
          <w:bCs/>
          <w:color w:val="1F6F5C"/>
          <w:sz w:val="24"/>
          <w:szCs w:val="24"/>
          <w:lang w:val="fr-FR"/>
        </w:rPr>
        <w:t xml:space="preserve"> étages, une même physique</w:t>
      </w:r>
    </w:p>
    <w:tbl>
      <w:tblPr>
        <w:tblW w:w="9600" w:type="dxa"/>
        <w:tblBorders>
          <w:top w:val="single" w:sz="2" w:space="0" w:color="CCCCCC"/>
          <w:left w:val="single" w:sz="2" w:space="0" w:color="CCCCCC"/>
          <w:bottom w:val="single" w:sz="2" w:space="0" w:color="CCCCCC"/>
          <w:right w:val="single" w:sz="2" w:space="0" w:color="CCCCCC"/>
          <w:insideH w:val="single" w:sz="2" w:space="0" w:color="DDDDDD"/>
          <w:insideV w:val="single" w:sz="2" w:space="0" w:color="DDDDDD"/>
        </w:tblBorders>
        <w:tblCellMar>
          <w:left w:w="10" w:type="dxa"/>
          <w:right w:w="10" w:type="dxa"/>
        </w:tblCellMar>
        <w:tblLook w:val="04A0" w:firstRow="1" w:lastRow="0" w:firstColumn="1" w:lastColumn="0" w:noHBand="0" w:noVBand="1"/>
      </w:tblPr>
      <w:tblGrid>
        <w:gridCol w:w="2000"/>
        <w:gridCol w:w="2000"/>
        <w:gridCol w:w="2000"/>
        <w:gridCol w:w="1800"/>
        <w:gridCol w:w="1800"/>
      </w:tblGrid>
      <w:tr w:rsidR="008E7E6D" w14:paraId="7FEFC118" w14:textId="77777777">
        <w:tblPrEx>
          <w:tblCellMar>
            <w:top w:w="0" w:type="dxa"/>
            <w:bottom w:w="0" w:type="dxa"/>
          </w:tblCellMar>
        </w:tblPrEx>
        <w:trPr>
          <w:tblHeader/>
        </w:trPr>
        <w:tc>
          <w:tcPr>
            <w:tcW w:w="2000" w:type="dxa"/>
            <w:shd w:val="clear" w:color="auto" w:fill="1B3A54"/>
            <w:tcMar>
              <w:top w:w="80" w:type="dxa"/>
              <w:left w:w="100" w:type="dxa"/>
              <w:bottom w:w="80" w:type="dxa"/>
              <w:right w:w="100" w:type="dxa"/>
            </w:tcMar>
            <w:vAlign w:val="center"/>
          </w:tcPr>
          <w:p w14:paraId="2F16F06A" w14:textId="77777777" w:rsidR="008E7E6D" w:rsidRDefault="00000000">
            <w:pPr>
              <w:jc w:val="center"/>
            </w:pPr>
            <w:r>
              <w:rPr>
                <w:rFonts w:ascii="Calibri" w:eastAsia="Calibri" w:hAnsi="Calibri" w:cs="Calibri"/>
                <w:b/>
                <w:bCs/>
                <w:color w:val="FFFFFF"/>
                <w:sz w:val="18"/>
                <w:szCs w:val="18"/>
              </w:rPr>
              <w:t>Étage</w:t>
            </w:r>
          </w:p>
        </w:tc>
        <w:tc>
          <w:tcPr>
            <w:tcW w:w="2000" w:type="dxa"/>
            <w:shd w:val="clear" w:color="auto" w:fill="1B3A54"/>
            <w:tcMar>
              <w:top w:w="80" w:type="dxa"/>
              <w:left w:w="100" w:type="dxa"/>
              <w:bottom w:w="80" w:type="dxa"/>
              <w:right w:w="100" w:type="dxa"/>
            </w:tcMar>
            <w:vAlign w:val="center"/>
          </w:tcPr>
          <w:p w14:paraId="1E11EC80" w14:textId="77777777" w:rsidR="008E7E6D" w:rsidRDefault="00000000">
            <w:pPr>
              <w:jc w:val="center"/>
            </w:pPr>
            <w:proofErr w:type="spellStart"/>
            <w:r>
              <w:rPr>
                <w:rFonts w:ascii="Calibri" w:eastAsia="Calibri" w:hAnsi="Calibri" w:cs="Calibri"/>
                <w:b/>
                <w:bCs/>
                <w:color w:val="FFFFFF"/>
                <w:sz w:val="18"/>
                <w:szCs w:val="18"/>
              </w:rPr>
              <w:t>Profondeur</w:t>
            </w:r>
            <w:proofErr w:type="spellEnd"/>
            <w:r>
              <w:rPr>
                <w:rFonts w:ascii="Calibri" w:eastAsia="Calibri" w:hAnsi="Calibri" w:cs="Calibri"/>
                <w:b/>
                <w:bCs/>
                <w:color w:val="FFFFFF"/>
                <w:sz w:val="18"/>
                <w:szCs w:val="18"/>
              </w:rPr>
              <w:t xml:space="preserve"> / T</w:t>
            </w:r>
          </w:p>
        </w:tc>
        <w:tc>
          <w:tcPr>
            <w:tcW w:w="2000" w:type="dxa"/>
            <w:shd w:val="clear" w:color="auto" w:fill="1B3A54"/>
            <w:tcMar>
              <w:top w:w="80" w:type="dxa"/>
              <w:left w:w="100" w:type="dxa"/>
              <w:bottom w:w="80" w:type="dxa"/>
              <w:right w:w="100" w:type="dxa"/>
            </w:tcMar>
            <w:vAlign w:val="center"/>
          </w:tcPr>
          <w:p w14:paraId="30AAA3BF" w14:textId="77777777" w:rsidR="008E7E6D" w:rsidRDefault="00000000">
            <w:pPr>
              <w:jc w:val="center"/>
            </w:pPr>
            <w:r>
              <w:rPr>
                <w:rFonts w:ascii="Calibri" w:eastAsia="Calibri" w:hAnsi="Calibri" w:cs="Calibri"/>
                <w:b/>
                <w:bCs/>
                <w:color w:val="FFFFFF"/>
                <w:sz w:val="18"/>
                <w:szCs w:val="18"/>
              </w:rPr>
              <w:t>Usage</w:t>
            </w:r>
          </w:p>
        </w:tc>
        <w:tc>
          <w:tcPr>
            <w:tcW w:w="1800" w:type="dxa"/>
            <w:shd w:val="clear" w:color="auto" w:fill="1B3A54"/>
            <w:tcMar>
              <w:top w:w="80" w:type="dxa"/>
              <w:left w:w="100" w:type="dxa"/>
              <w:bottom w:w="80" w:type="dxa"/>
              <w:right w:w="100" w:type="dxa"/>
            </w:tcMar>
            <w:vAlign w:val="center"/>
          </w:tcPr>
          <w:p w14:paraId="1D58A789" w14:textId="77777777" w:rsidR="008E7E6D" w:rsidRDefault="00000000">
            <w:pPr>
              <w:jc w:val="center"/>
            </w:pPr>
            <w:r>
              <w:rPr>
                <w:rFonts w:ascii="Calibri" w:eastAsia="Calibri" w:hAnsi="Calibri" w:cs="Calibri"/>
                <w:b/>
                <w:bCs/>
                <w:color w:val="FFFFFF"/>
                <w:sz w:val="18"/>
                <w:szCs w:val="18"/>
              </w:rPr>
              <w:t xml:space="preserve">Ordre de </w:t>
            </w:r>
            <w:proofErr w:type="spellStart"/>
            <w:r>
              <w:rPr>
                <w:rFonts w:ascii="Calibri" w:eastAsia="Calibri" w:hAnsi="Calibri" w:cs="Calibri"/>
                <w:b/>
                <w:bCs/>
                <w:color w:val="FFFFFF"/>
                <w:sz w:val="18"/>
                <w:szCs w:val="18"/>
              </w:rPr>
              <w:t>coût</w:t>
            </w:r>
            <w:proofErr w:type="spellEnd"/>
          </w:p>
        </w:tc>
        <w:tc>
          <w:tcPr>
            <w:tcW w:w="1800" w:type="dxa"/>
            <w:shd w:val="clear" w:color="auto" w:fill="1B3A54"/>
            <w:tcMar>
              <w:top w:w="80" w:type="dxa"/>
              <w:left w:w="100" w:type="dxa"/>
              <w:bottom w:w="80" w:type="dxa"/>
              <w:right w:w="100" w:type="dxa"/>
            </w:tcMar>
            <w:vAlign w:val="center"/>
          </w:tcPr>
          <w:p w14:paraId="6D2001BE" w14:textId="77777777" w:rsidR="008E7E6D" w:rsidRDefault="00000000">
            <w:pPr>
              <w:jc w:val="center"/>
            </w:pPr>
            <w:r>
              <w:rPr>
                <w:rFonts w:ascii="Calibri" w:eastAsia="Calibri" w:hAnsi="Calibri" w:cs="Calibri"/>
                <w:b/>
                <w:bCs/>
                <w:color w:val="FFFFFF"/>
                <w:sz w:val="18"/>
                <w:szCs w:val="18"/>
              </w:rPr>
              <w:t xml:space="preserve">Durée </w:t>
            </w:r>
            <w:proofErr w:type="spellStart"/>
            <w:r>
              <w:rPr>
                <w:rFonts w:ascii="Calibri" w:eastAsia="Calibri" w:hAnsi="Calibri" w:cs="Calibri"/>
                <w:b/>
                <w:bCs/>
                <w:color w:val="FFFFFF"/>
                <w:sz w:val="18"/>
                <w:szCs w:val="18"/>
              </w:rPr>
              <w:t>actif</w:t>
            </w:r>
            <w:proofErr w:type="spellEnd"/>
          </w:p>
        </w:tc>
      </w:tr>
      <w:tr w:rsidR="008E7E6D" w14:paraId="469B82A1" w14:textId="77777777">
        <w:tblPrEx>
          <w:tblCellMar>
            <w:top w:w="0" w:type="dxa"/>
            <w:bottom w:w="0" w:type="dxa"/>
          </w:tblCellMar>
        </w:tblPrEx>
        <w:tc>
          <w:tcPr>
            <w:tcW w:w="2000" w:type="dxa"/>
            <w:tcMar>
              <w:top w:w="80" w:type="dxa"/>
              <w:left w:w="100" w:type="dxa"/>
              <w:bottom w:w="80" w:type="dxa"/>
              <w:right w:w="100" w:type="dxa"/>
            </w:tcMar>
          </w:tcPr>
          <w:p w14:paraId="2BCFA54A" w14:textId="77777777" w:rsidR="008E7E6D" w:rsidRDefault="00000000">
            <w:r>
              <w:rPr>
                <w:rFonts w:ascii="Calibri" w:eastAsia="Calibri" w:hAnsi="Calibri" w:cs="Calibri"/>
                <w:color w:val="222222"/>
                <w:sz w:val="18"/>
                <w:szCs w:val="18"/>
              </w:rPr>
              <w:t>Surface (GMI / sondes / nappe)</w:t>
            </w:r>
          </w:p>
        </w:tc>
        <w:tc>
          <w:tcPr>
            <w:tcW w:w="2000" w:type="dxa"/>
            <w:tcMar>
              <w:top w:w="80" w:type="dxa"/>
              <w:left w:w="100" w:type="dxa"/>
              <w:bottom w:w="80" w:type="dxa"/>
              <w:right w:w="100" w:type="dxa"/>
            </w:tcMar>
          </w:tcPr>
          <w:p w14:paraId="5804CD31" w14:textId="77777777" w:rsidR="008E7E6D" w:rsidRDefault="00000000">
            <w:r>
              <w:rPr>
                <w:rFonts w:ascii="Calibri" w:eastAsia="Calibri" w:hAnsi="Calibri" w:cs="Calibri"/>
                <w:color w:val="222222"/>
                <w:sz w:val="18"/>
                <w:szCs w:val="18"/>
              </w:rPr>
              <w:t>15–200 m · 12–20 °C</w:t>
            </w:r>
          </w:p>
        </w:tc>
        <w:tc>
          <w:tcPr>
            <w:tcW w:w="2000" w:type="dxa"/>
            <w:tcMar>
              <w:top w:w="80" w:type="dxa"/>
              <w:left w:w="100" w:type="dxa"/>
              <w:bottom w:w="80" w:type="dxa"/>
              <w:right w:w="100" w:type="dxa"/>
            </w:tcMar>
          </w:tcPr>
          <w:p w14:paraId="4B40AB50" w14:textId="77777777" w:rsidR="008E7E6D" w:rsidRPr="008308F6" w:rsidRDefault="00000000">
            <w:pPr>
              <w:rPr>
                <w:lang w:val="fr-FR"/>
              </w:rPr>
            </w:pPr>
            <w:r w:rsidRPr="008308F6">
              <w:rPr>
                <w:rFonts w:ascii="Calibri" w:eastAsia="Calibri" w:hAnsi="Calibri" w:cs="Calibri"/>
                <w:color w:val="222222"/>
                <w:sz w:val="18"/>
                <w:szCs w:val="18"/>
                <w:lang w:val="fr-FR"/>
              </w:rPr>
              <w:t>Chauffage + froid PAC eau/eau</w:t>
            </w:r>
          </w:p>
        </w:tc>
        <w:tc>
          <w:tcPr>
            <w:tcW w:w="1800" w:type="dxa"/>
            <w:tcMar>
              <w:top w:w="80" w:type="dxa"/>
              <w:left w:w="100" w:type="dxa"/>
              <w:bottom w:w="80" w:type="dxa"/>
              <w:right w:w="100" w:type="dxa"/>
            </w:tcMar>
          </w:tcPr>
          <w:p w14:paraId="0AF90617" w14:textId="77777777" w:rsidR="008E7E6D" w:rsidRPr="008308F6" w:rsidRDefault="00000000">
            <w:pPr>
              <w:rPr>
                <w:lang w:val="fr-FR"/>
              </w:rPr>
            </w:pPr>
            <w:r w:rsidRPr="008308F6">
              <w:rPr>
                <w:rFonts w:ascii="Calibri" w:eastAsia="Calibri" w:hAnsi="Calibri" w:cs="Calibri"/>
                <w:color w:val="222222"/>
                <w:sz w:val="18"/>
                <w:szCs w:val="18"/>
                <w:lang w:val="fr-FR"/>
              </w:rPr>
              <w:t>50–160 €/ml forage ; 15–55 k€ maison ; M€ collectifs</w:t>
            </w:r>
          </w:p>
        </w:tc>
        <w:tc>
          <w:tcPr>
            <w:tcW w:w="1800" w:type="dxa"/>
            <w:tcMar>
              <w:top w:w="80" w:type="dxa"/>
              <w:left w:w="100" w:type="dxa"/>
              <w:bottom w:w="80" w:type="dxa"/>
              <w:right w:w="100" w:type="dxa"/>
            </w:tcMar>
          </w:tcPr>
          <w:p w14:paraId="0E6B54A9" w14:textId="77777777" w:rsidR="008E7E6D" w:rsidRDefault="00000000">
            <w:r>
              <w:rPr>
                <w:rFonts w:ascii="Calibri" w:eastAsia="Calibri" w:hAnsi="Calibri" w:cs="Calibri"/>
                <w:color w:val="222222"/>
                <w:sz w:val="18"/>
                <w:szCs w:val="18"/>
              </w:rPr>
              <w:t xml:space="preserve">Sondes 40–80 </w:t>
            </w:r>
            <w:proofErr w:type="spellStart"/>
            <w:r>
              <w:rPr>
                <w:rFonts w:ascii="Calibri" w:eastAsia="Calibri" w:hAnsi="Calibri" w:cs="Calibri"/>
                <w:color w:val="222222"/>
                <w:sz w:val="18"/>
                <w:szCs w:val="18"/>
              </w:rPr>
              <w:t>ans</w:t>
            </w:r>
            <w:proofErr w:type="spellEnd"/>
            <w:r>
              <w:rPr>
                <w:rFonts w:ascii="Calibri" w:eastAsia="Calibri" w:hAnsi="Calibri" w:cs="Calibri"/>
                <w:color w:val="222222"/>
                <w:sz w:val="18"/>
                <w:szCs w:val="18"/>
              </w:rPr>
              <w:t xml:space="preserve"> · PAC 20–25 </w:t>
            </w:r>
            <w:proofErr w:type="spellStart"/>
            <w:r>
              <w:rPr>
                <w:rFonts w:ascii="Calibri" w:eastAsia="Calibri" w:hAnsi="Calibri" w:cs="Calibri"/>
                <w:color w:val="222222"/>
                <w:sz w:val="18"/>
                <w:szCs w:val="18"/>
              </w:rPr>
              <w:t>ans</w:t>
            </w:r>
            <w:proofErr w:type="spellEnd"/>
          </w:p>
        </w:tc>
      </w:tr>
      <w:tr w:rsidR="008E7E6D" w14:paraId="68C93708" w14:textId="77777777">
        <w:tblPrEx>
          <w:tblCellMar>
            <w:top w:w="0" w:type="dxa"/>
            <w:bottom w:w="0" w:type="dxa"/>
          </w:tblCellMar>
        </w:tblPrEx>
        <w:tc>
          <w:tcPr>
            <w:tcW w:w="2000" w:type="dxa"/>
            <w:shd w:val="clear" w:color="auto" w:fill="F4F4F2"/>
            <w:tcMar>
              <w:top w:w="80" w:type="dxa"/>
              <w:left w:w="100" w:type="dxa"/>
              <w:bottom w:w="80" w:type="dxa"/>
              <w:right w:w="100" w:type="dxa"/>
            </w:tcMar>
          </w:tcPr>
          <w:p w14:paraId="56EF2CE9" w14:textId="77777777" w:rsidR="008E7E6D" w:rsidRDefault="00000000">
            <w:r>
              <w:rPr>
                <w:rFonts w:ascii="Calibri" w:eastAsia="Calibri" w:hAnsi="Calibri" w:cs="Calibri"/>
                <w:color w:val="222222"/>
                <w:sz w:val="18"/>
                <w:szCs w:val="18"/>
              </w:rPr>
              <w:t xml:space="preserve">Profonde </w:t>
            </w:r>
            <w:proofErr w:type="spellStart"/>
            <w:r>
              <w:rPr>
                <w:rFonts w:ascii="Calibri" w:eastAsia="Calibri" w:hAnsi="Calibri" w:cs="Calibri"/>
                <w:color w:val="222222"/>
                <w:sz w:val="18"/>
                <w:szCs w:val="18"/>
              </w:rPr>
              <w:t>calogène</w:t>
            </w:r>
            <w:proofErr w:type="spellEnd"/>
          </w:p>
        </w:tc>
        <w:tc>
          <w:tcPr>
            <w:tcW w:w="2000" w:type="dxa"/>
            <w:shd w:val="clear" w:color="auto" w:fill="F4F4F2"/>
            <w:tcMar>
              <w:top w:w="80" w:type="dxa"/>
              <w:left w:w="100" w:type="dxa"/>
              <w:bottom w:w="80" w:type="dxa"/>
              <w:right w:w="100" w:type="dxa"/>
            </w:tcMar>
          </w:tcPr>
          <w:p w14:paraId="309AB8FE" w14:textId="77777777" w:rsidR="008E7E6D" w:rsidRDefault="00000000">
            <w:r>
              <w:rPr>
                <w:rFonts w:ascii="Calibri" w:eastAsia="Calibri" w:hAnsi="Calibri" w:cs="Calibri"/>
                <w:color w:val="222222"/>
                <w:sz w:val="18"/>
                <w:szCs w:val="18"/>
              </w:rPr>
              <w:t>800–2 000 m · 40–90 °C (Dogger, etc.)</w:t>
            </w:r>
          </w:p>
        </w:tc>
        <w:tc>
          <w:tcPr>
            <w:tcW w:w="2000" w:type="dxa"/>
            <w:shd w:val="clear" w:color="auto" w:fill="F4F4F2"/>
            <w:tcMar>
              <w:top w:w="80" w:type="dxa"/>
              <w:left w:w="100" w:type="dxa"/>
              <w:bottom w:w="80" w:type="dxa"/>
              <w:right w:w="100" w:type="dxa"/>
            </w:tcMar>
          </w:tcPr>
          <w:p w14:paraId="3AB7B3A7" w14:textId="77777777" w:rsidR="008E7E6D" w:rsidRDefault="00000000">
            <w:r>
              <w:rPr>
                <w:rFonts w:ascii="Calibri" w:eastAsia="Calibri" w:hAnsi="Calibri" w:cs="Calibri"/>
                <w:color w:val="222222"/>
                <w:sz w:val="18"/>
                <w:szCs w:val="18"/>
              </w:rPr>
              <w:t xml:space="preserve">Réseaux de </w:t>
            </w:r>
            <w:proofErr w:type="spellStart"/>
            <w:r>
              <w:rPr>
                <w:rFonts w:ascii="Calibri" w:eastAsia="Calibri" w:hAnsi="Calibri" w:cs="Calibri"/>
                <w:color w:val="222222"/>
                <w:sz w:val="18"/>
                <w:szCs w:val="18"/>
              </w:rPr>
              <w:t>chaleur</w:t>
            </w:r>
            <w:proofErr w:type="spellEnd"/>
            <w:r>
              <w:rPr>
                <w:rFonts w:ascii="Calibri" w:eastAsia="Calibri" w:hAnsi="Calibri" w:cs="Calibri"/>
                <w:color w:val="222222"/>
                <w:sz w:val="18"/>
                <w:szCs w:val="18"/>
              </w:rPr>
              <w:t xml:space="preserve"> </w:t>
            </w:r>
            <w:proofErr w:type="spellStart"/>
            <w:r>
              <w:rPr>
                <w:rFonts w:ascii="Calibri" w:eastAsia="Calibri" w:hAnsi="Calibri" w:cs="Calibri"/>
                <w:color w:val="222222"/>
                <w:sz w:val="18"/>
                <w:szCs w:val="18"/>
              </w:rPr>
              <w:t>urbains</w:t>
            </w:r>
            <w:proofErr w:type="spellEnd"/>
          </w:p>
        </w:tc>
        <w:tc>
          <w:tcPr>
            <w:tcW w:w="1800" w:type="dxa"/>
            <w:shd w:val="clear" w:color="auto" w:fill="F4F4F2"/>
            <w:tcMar>
              <w:top w:w="80" w:type="dxa"/>
              <w:left w:w="100" w:type="dxa"/>
              <w:bottom w:w="80" w:type="dxa"/>
              <w:right w:w="100" w:type="dxa"/>
            </w:tcMar>
          </w:tcPr>
          <w:p w14:paraId="3473DD2B" w14:textId="77777777" w:rsidR="008E7E6D" w:rsidRDefault="00000000">
            <w:proofErr w:type="gramStart"/>
            <w:r>
              <w:rPr>
                <w:rFonts w:ascii="Calibri" w:eastAsia="Calibri" w:hAnsi="Calibri" w:cs="Calibri"/>
                <w:color w:val="222222"/>
                <w:sz w:val="18"/>
                <w:szCs w:val="18"/>
              </w:rPr>
              <w:t>Doublet :</w:t>
            </w:r>
            <w:proofErr w:type="gramEnd"/>
            <w:r>
              <w:rPr>
                <w:rFonts w:ascii="Calibri" w:eastAsia="Calibri" w:hAnsi="Calibri" w:cs="Calibri"/>
                <w:color w:val="222222"/>
                <w:sz w:val="18"/>
                <w:szCs w:val="18"/>
              </w:rPr>
              <w:t xml:space="preserve"> 2–5 M€+ par forage</w:t>
            </w:r>
          </w:p>
        </w:tc>
        <w:tc>
          <w:tcPr>
            <w:tcW w:w="1800" w:type="dxa"/>
            <w:shd w:val="clear" w:color="auto" w:fill="F4F4F2"/>
            <w:tcMar>
              <w:top w:w="80" w:type="dxa"/>
              <w:left w:w="100" w:type="dxa"/>
              <w:bottom w:w="80" w:type="dxa"/>
              <w:right w:w="100" w:type="dxa"/>
            </w:tcMar>
          </w:tcPr>
          <w:p w14:paraId="5BF889BE" w14:textId="77777777" w:rsidR="008E7E6D" w:rsidRDefault="00000000">
            <w:r>
              <w:rPr>
                <w:rFonts w:ascii="Calibri" w:eastAsia="Calibri" w:hAnsi="Calibri" w:cs="Calibri"/>
                <w:color w:val="222222"/>
                <w:sz w:val="18"/>
                <w:szCs w:val="18"/>
              </w:rPr>
              <w:t xml:space="preserve">Puits 30–40 </w:t>
            </w:r>
            <w:proofErr w:type="spellStart"/>
            <w:r>
              <w:rPr>
                <w:rFonts w:ascii="Calibri" w:eastAsia="Calibri" w:hAnsi="Calibri" w:cs="Calibri"/>
                <w:color w:val="222222"/>
                <w:sz w:val="18"/>
                <w:szCs w:val="18"/>
              </w:rPr>
              <w:t>ans</w:t>
            </w:r>
            <w:proofErr w:type="spellEnd"/>
            <w:r>
              <w:rPr>
                <w:rFonts w:ascii="Calibri" w:eastAsia="Calibri" w:hAnsi="Calibri" w:cs="Calibri"/>
                <w:color w:val="222222"/>
                <w:sz w:val="18"/>
                <w:szCs w:val="18"/>
              </w:rPr>
              <w:t xml:space="preserve">+ · centrale 25–40 </w:t>
            </w:r>
            <w:proofErr w:type="spellStart"/>
            <w:r>
              <w:rPr>
                <w:rFonts w:ascii="Calibri" w:eastAsia="Calibri" w:hAnsi="Calibri" w:cs="Calibri"/>
                <w:color w:val="222222"/>
                <w:sz w:val="18"/>
                <w:szCs w:val="18"/>
              </w:rPr>
              <w:t>ans</w:t>
            </w:r>
            <w:proofErr w:type="spellEnd"/>
          </w:p>
        </w:tc>
      </w:tr>
      <w:tr w:rsidR="008E7E6D" w:rsidRPr="008308F6" w14:paraId="4E632D15" w14:textId="77777777">
        <w:tblPrEx>
          <w:tblCellMar>
            <w:top w:w="0" w:type="dxa"/>
            <w:bottom w:w="0" w:type="dxa"/>
          </w:tblCellMar>
        </w:tblPrEx>
        <w:tc>
          <w:tcPr>
            <w:tcW w:w="2000" w:type="dxa"/>
            <w:tcMar>
              <w:top w:w="80" w:type="dxa"/>
              <w:left w:w="100" w:type="dxa"/>
              <w:bottom w:w="80" w:type="dxa"/>
              <w:right w:w="100" w:type="dxa"/>
            </w:tcMar>
          </w:tcPr>
          <w:p w14:paraId="0A511529" w14:textId="77777777" w:rsidR="008E7E6D" w:rsidRDefault="00000000">
            <w:r>
              <w:rPr>
                <w:rFonts w:ascii="Calibri" w:eastAsia="Calibri" w:hAnsi="Calibri" w:cs="Calibri"/>
                <w:color w:val="222222"/>
                <w:sz w:val="18"/>
                <w:szCs w:val="18"/>
              </w:rPr>
              <w:t xml:space="preserve">Profonde </w:t>
            </w:r>
            <w:proofErr w:type="spellStart"/>
            <w:r>
              <w:rPr>
                <w:rFonts w:ascii="Calibri" w:eastAsia="Calibri" w:hAnsi="Calibri" w:cs="Calibri"/>
                <w:color w:val="222222"/>
                <w:sz w:val="18"/>
                <w:szCs w:val="18"/>
              </w:rPr>
              <w:t>électrogène</w:t>
            </w:r>
            <w:proofErr w:type="spellEnd"/>
            <w:r>
              <w:rPr>
                <w:rFonts w:ascii="Calibri" w:eastAsia="Calibri" w:hAnsi="Calibri" w:cs="Calibri"/>
                <w:color w:val="222222"/>
                <w:sz w:val="18"/>
                <w:szCs w:val="18"/>
              </w:rPr>
              <w:t xml:space="preserve"> / EGS / HTH</w:t>
            </w:r>
          </w:p>
        </w:tc>
        <w:tc>
          <w:tcPr>
            <w:tcW w:w="2000" w:type="dxa"/>
            <w:tcMar>
              <w:top w:w="80" w:type="dxa"/>
              <w:left w:w="100" w:type="dxa"/>
              <w:bottom w:w="80" w:type="dxa"/>
              <w:right w:w="100" w:type="dxa"/>
            </w:tcMar>
          </w:tcPr>
          <w:p w14:paraId="63A584E8" w14:textId="77777777" w:rsidR="008E7E6D" w:rsidRDefault="00000000">
            <w:r>
              <w:rPr>
                <w:rFonts w:ascii="Calibri" w:eastAsia="Calibri" w:hAnsi="Calibri" w:cs="Calibri"/>
                <w:color w:val="222222"/>
                <w:sz w:val="18"/>
                <w:szCs w:val="18"/>
              </w:rPr>
              <w:t>&gt; 2 000 m · &gt; 120–350 °C</w:t>
            </w:r>
          </w:p>
        </w:tc>
        <w:tc>
          <w:tcPr>
            <w:tcW w:w="2000" w:type="dxa"/>
            <w:tcMar>
              <w:top w:w="80" w:type="dxa"/>
              <w:left w:w="100" w:type="dxa"/>
              <w:bottom w:w="80" w:type="dxa"/>
              <w:right w:w="100" w:type="dxa"/>
            </w:tcMar>
          </w:tcPr>
          <w:p w14:paraId="5FE8AF44" w14:textId="77777777" w:rsidR="008E7E6D" w:rsidRDefault="00000000">
            <w:proofErr w:type="spellStart"/>
            <w:r>
              <w:rPr>
                <w:rFonts w:ascii="Calibri" w:eastAsia="Calibri" w:hAnsi="Calibri" w:cs="Calibri"/>
                <w:color w:val="222222"/>
                <w:sz w:val="18"/>
                <w:szCs w:val="18"/>
              </w:rPr>
              <w:t>Électricité</w:t>
            </w:r>
            <w:proofErr w:type="spellEnd"/>
            <w:r>
              <w:rPr>
                <w:rFonts w:ascii="Calibri" w:eastAsia="Calibri" w:hAnsi="Calibri" w:cs="Calibri"/>
                <w:color w:val="222222"/>
                <w:sz w:val="18"/>
                <w:szCs w:val="18"/>
              </w:rPr>
              <w:t xml:space="preserve">, process, </w:t>
            </w:r>
            <w:proofErr w:type="spellStart"/>
            <w:r>
              <w:rPr>
                <w:rFonts w:ascii="Calibri" w:eastAsia="Calibri" w:hAnsi="Calibri" w:cs="Calibri"/>
                <w:color w:val="222222"/>
                <w:sz w:val="18"/>
                <w:szCs w:val="18"/>
              </w:rPr>
              <w:t>datacenters</w:t>
            </w:r>
            <w:proofErr w:type="spellEnd"/>
          </w:p>
        </w:tc>
        <w:tc>
          <w:tcPr>
            <w:tcW w:w="1800" w:type="dxa"/>
            <w:tcMar>
              <w:top w:w="80" w:type="dxa"/>
              <w:left w:w="100" w:type="dxa"/>
              <w:bottom w:w="80" w:type="dxa"/>
              <w:right w:w="100" w:type="dxa"/>
            </w:tcMar>
          </w:tcPr>
          <w:p w14:paraId="7C98AE9F" w14:textId="77777777" w:rsidR="008E7E6D" w:rsidRDefault="00000000">
            <w:r>
              <w:rPr>
                <w:rFonts w:ascii="Calibri" w:eastAsia="Calibri" w:hAnsi="Calibri" w:cs="Calibri"/>
                <w:color w:val="222222"/>
                <w:sz w:val="18"/>
                <w:szCs w:val="18"/>
              </w:rPr>
              <w:t xml:space="preserve">Capex </w:t>
            </w:r>
            <w:proofErr w:type="spellStart"/>
            <w:r>
              <w:rPr>
                <w:rFonts w:ascii="Calibri" w:eastAsia="Calibri" w:hAnsi="Calibri" w:cs="Calibri"/>
                <w:color w:val="222222"/>
                <w:sz w:val="18"/>
                <w:szCs w:val="18"/>
              </w:rPr>
              <w:t>industriel</w:t>
            </w:r>
            <w:proofErr w:type="spellEnd"/>
            <w:r>
              <w:rPr>
                <w:rFonts w:ascii="Calibri" w:eastAsia="Calibri" w:hAnsi="Calibri" w:cs="Calibri"/>
                <w:color w:val="222222"/>
                <w:sz w:val="18"/>
                <w:szCs w:val="18"/>
              </w:rPr>
              <w:t xml:space="preserve"> </w:t>
            </w:r>
            <w:proofErr w:type="spellStart"/>
            <w:r>
              <w:rPr>
                <w:rFonts w:ascii="Calibri" w:eastAsia="Calibri" w:hAnsi="Calibri" w:cs="Calibri"/>
                <w:color w:val="222222"/>
                <w:sz w:val="18"/>
                <w:szCs w:val="18"/>
              </w:rPr>
              <w:t>lourd</w:t>
            </w:r>
            <w:proofErr w:type="spellEnd"/>
          </w:p>
        </w:tc>
        <w:tc>
          <w:tcPr>
            <w:tcW w:w="1800" w:type="dxa"/>
            <w:tcMar>
              <w:top w:w="80" w:type="dxa"/>
              <w:left w:w="100" w:type="dxa"/>
              <w:bottom w:w="80" w:type="dxa"/>
              <w:right w:w="100" w:type="dxa"/>
            </w:tcMar>
          </w:tcPr>
          <w:p w14:paraId="087011AF" w14:textId="77777777" w:rsidR="008E7E6D" w:rsidRPr="008308F6" w:rsidRDefault="00000000">
            <w:pPr>
              <w:rPr>
                <w:lang w:val="fr-FR"/>
              </w:rPr>
            </w:pPr>
            <w:r w:rsidRPr="008308F6">
              <w:rPr>
                <w:rFonts w:ascii="Calibri" w:eastAsia="Calibri" w:hAnsi="Calibri" w:cs="Calibri"/>
                <w:color w:val="222222"/>
                <w:sz w:val="18"/>
                <w:szCs w:val="18"/>
                <w:lang w:val="fr-FR"/>
              </w:rPr>
              <w:t>Actif long, LCOE déjà ~60 $/MWh dans les meilleurs cas</w:t>
            </w:r>
          </w:p>
        </w:tc>
      </w:tr>
    </w:tbl>
    <w:p w14:paraId="4DC5558C" w14:textId="77777777" w:rsidR="008E7E6D" w:rsidRPr="008308F6" w:rsidRDefault="00000000">
      <w:pPr>
        <w:spacing w:before="80" w:after="200"/>
        <w:rPr>
          <w:lang w:val="fr-FR"/>
        </w:rPr>
      </w:pPr>
      <w:r w:rsidRPr="008308F6">
        <w:rPr>
          <w:rFonts w:ascii="Calibri" w:eastAsia="Calibri" w:hAnsi="Calibri" w:cs="Calibri"/>
          <w:i/>
          <w:iCs/>
          <w:color w:val="555555"/>
          <w:sz w:val="18"/>
          <w:szCs w:val="18"/>
          <w:lang w:val="fr-FR"/>
        </w:rPr>
        <w:t xml:space="preserve">Conventions d'unités et de coûts au mètre : Formulaire du foreur, IFP, ISBN 2-7108-0560-X. Gradient typique Europe de l'Ouest ≈ 3 °C / 100 m. COP PAC géothermique 4 à 5 (JAZ 3,5–5) contre 2,5–3,5 </w:t>
      </w:r>
      <w:proofErr w:type="gramStart"/>
      <w:r w:rsidRPr="008308F6">
        <w:rPr>
          <w:rFonts w:ascii="Calibri" w:eastAsia="Calibri" w:hAnsi="Calibri" w:cs="Calibri"/>
          <w:i/>
          <w:iCs/>
          <w:color w:val="555555"/>
          <w:sz w:val="18"/>
          <w:szCs w:val="18"/>
          <w:lang w:val="fr-FR"/>
        </w:rPr>
        <w:t>aérothermie</w:t>
      </w:r>
      <w:proofErr w:type="gramEnd"/>
      <w:r w:rsidRPr="008308F6">
        <w:rPr>
          <w:rFonts w:ascii="Calibri" w:eastAsia="Calibri" w:hAnsi="Calibri" w:cs="Calibri"/>
          <w:i/>
          <w:iCs/>
          <w:color w:val="555555"/>
          <w:sz w:val="18"/>
          <w:szCs w:val="18"/>
          <w:lang w:val="fr-FR"/>
        </w:rPr>
        <w:t>.</w:t>
      </w:r>
    </w:p>
    <w:p w14:paraId="266FAA50" w14:textId="77777777" w:rsidR="008E7E6D" w:rsidRPr="008308F6" w:rsidRDefault="00000000">
      <w:pPr>
        <w:spacing w:before="260" w:after="120"/>
        <w:rPr>
          <w:lang w:val="fr-FR"/>
        </w:rPr>
      </w:pPr>
      <w:proofErr w:type="gramStart"/>
      <w:r w:rsidRPr="008308F6">
        <w:rPr>
          <w:rFonts w:ascii="Calibri" w:eastAsia="Calibri" w:hAnsi="Calibri" w:cs="Calibri"/>
          <w:b/>
          <w:bCs/>
          <w:color w:val="1F6F5C"/>
          <w:sz w:val="24"/>
          <w:szCs w:val="24"/>
          <w:lang w:val="fr-FR"/>
        </w:rPr>
        <w:t>3.2  Structure</w:t>
      </w:r>
      <w:proofErr w:type="gramEnd"/>
      <w:r w:rsidRPr="008308F6">
        <w:rPr>
          <w:rFonts w:ascii="Calibri" w:eastAsia="Calibri" w:hAnsi="Calibri" w:cs="Calibri"/>
          <w:b/>
          <w:bCs/>
          <w:color w:val="1F6F5C"/>
          <w:sz w:val="24"/>
          <w:szCs w:val="24"/>
          <w:lang w:val="fr-FR"/>
        </w:rPr>
        <w:t xml:space="preserve"> de coût — le forage est le goulot</w:t>
      </w:r>
    </w:p>
    <w:p w14:paraId="24E5795C" w14:textId="77777777" w:rsidR="008E7E6D" w:rsidRPr="008308F6" w:rsidRDefault="00000000">
      <w:pPr>
        <w:spacing w:after="160" w:line="276" w:lineRule="auto"/>
        <w:jc w:val="both"/>
        <w:rPr>
          <w:lang w:val="fr-FR"/>
        </w:rPr>
      </w:pPr>
      <w:r w:rsidRPr="008308F6">
        <w:rPr>
          <w:rFonts w:ascii="Calibri" w:eastAsia="Calibri" w:hAnsi="Calibri" w:cs="Calibri"/>
          <w:color w:val="222222"/>
          <w:sz w:val="21"/>
          <w:szCs w:val="21"/>
          <w:lang w:val="fr-FR"/>
        </w:rPr>
        <w:t>Sur une installation de surface, le forage + sondes représente souvent 35 à 55 % du capex. Sur un doublet profond, il en représente la quasi-totalité du risque géologique et une part majoritaire du capex. C'est pourquoi Cindy Demichel a raison de pointer le coût d'entrée, et pourquoi toute politique qui traite le forage comme un « accessoire BTP » manque la cible.</w:t>
      </w:r>
    </w:p>
    <w:tbl>
      <w:tblPr>
        <w:tblW w:w="9600" w:type="dxa"/>
        <w:tblBorders>
          <w:top w:val="single" w:sz="2" w:space="0" w:color="CCCCCC"/>
          <w:left w:val="single" w:sz="2" w:space="0" w:color="CCCCCC"/>
          <w:bottom w:val="single" w:sz="2" w:space="0" w:color="CCCCCC"/>
          <w:right w:val="single" w:sz="2" w:space="0" w:color="CCCCCC"/>
          <w:insideH w:val="single" w:sz="2" w:space="0" w:color="DDDDDD"/>
          <w:insideV w:val="single" w:sz="2" w:space="0" w:color="DDDDDD"/>
        </w:tblBorders>
        <w:tblCellMar>
          <w:left w:w="10" w:type="dxa"/>
          <w:right w:w="10" w:type="dxa"/>
        </w:tblCellMar>
        <w:tblLook w:val="04A0" w:firstRow="1" w:lastRow="0" w:firstColumn="1" w:lastColumn="0" w:noHBand="0" w:noVBand="1"/>
      </w:tblPr>
      <w:tblGrid>
        <w:gridCol w:w="3600"/>
        <w:gridCol w:w="2000"/>
        <w:gridCol w:w="4000"/>
      </w:tblGrid>
      <w:tr w:rsidR="008E7E6D" w14:paraId="7228E5F0" w14:textId="77777777">
        <w:tblPrEx>
          <w:tblCellMar>
            <w:top w:w="0" w:type="dxa"/>
            <w:bottom w:w="0" w:type="dxa"/>
          </w:tblCellMar>
        </w:tblPrEx>
        <w:trPr>
          <w:tblHeader/>
        </w:trPr>
        <w:tc>
          <w:tcPr>
            <w:tcW w:w="3600" w:type="dxa"/>
            <w:shd w:val="clear" w:color="auto" w:fill="1B3A54"/>
            <w:tcMar>
              <w:top w:w="80" w:type="dxa"/>
              <w:left w:w="100" w:type="dxa"/>
              <w:bottom w:w="80" w:type="dxa"/>
              <w:right w:w="100" w:type="dxa"/>
            </w:tcMar>
            <w:vAlign w:val="center"/>
          </w:tcPr>
          <w:p w14:paraId="126D7E0A" w14:textId="77777777" w:rsidR="008E7E6D" w:rsidRDefault="00000000">
            <w:pPr>
              <w:jc w:val="center"/>
            </w:pPr>
            <w:r>
              <w:rPr>
                <w:rFonts w:ascii="Calibri" w:eastAsia="Calibri" w:hAnsi="Calibri" w:cs="Calibri"/>
                <w:b/>
                <w:bCs/>
                <w:color w:val="FFFFFF"/>
                <w:sz w:val="18"/>
                <w:szCs w:val="18"/>
              </w:rPr>
              <w:t xml:space="preserve">Poste (surface, </w:t>
            </w:r>
            <w:proofErr w:type="spellStart"/>
            <w:r>
              <w:rPr>
                <w:rFonts w:ascii="Calibri" w:eastAsia="Calibri" w:hAnsi="Calibri" w:cs="Calibri"/>
                <w:b/>
                <w:bCs/>
                <w:color w:val="FFFFFF"/>
                <w:sz w:val="18"/>
                <w:szCs w:val="18"/>
              </w:rPr>
              <w:t>collectif</w:t>
            </w:r>
            <w:proofErr w:type="spellEnd"/>
            <w:r>
              <w:rPr>
                <w:rFonts w:ascii="Calibri" w:eastAsia="Calibri" w:hAnsi="Calibri" w:cs="Calibri"/>
                <w:b/>
                <w:bCs/>
                <w:color w:val="FFFFFF"/>
                <w:sz w:val="18"/>
                <w:szCs w:val="18"/>
              </w:rPr>
              <w:t>/</w:t>
            </w:r>
            <w:proofErr w:type="spellStart"/>
            <w:r>
              <w:rPr>
                <w:rFonts w:ascii="Calibri" w:eastAsia="Calibri" w:hAnsi="Calibri" w:cs="Calibri"/>
                <w:b/>
                <w:bCs/>
                <w:color w:val="FFFFFF"/>
                <w:sz w:val="18"/>
                <w:szCs w:val="18"/>
              </w:rPr>
              <w:t>tertiaire</w:t>
            </w:r>
            <w:proofErr w:type="spellEnd"/>
            <w:r>
              <w:rPr>
                <w:rFonts w:ascii="Calibri" w:eastAsia="Calibri" w:hAnsi="Calibri" w:cs="Calibri"/>
                <w:b/>
                <w:bCs/>
                <w:color w:val="FFFFFF"/>
                <w:sz w:val="18"/>
                <w:szCs w:val="18"/>
              </w:rPr>
              <w:t>)</w:t>
            </w:r>
          </w:p>
        </w:tc>
        <w:tc>
          <w:tcPr>
            <w:tcW w:w="2000" w:type="dxa"/>
            <w:shd w:val="clear" w:color="auto" w:fill="1B3A54"/>
            <w:tcMar>
              <w:top w:w="80" w:type="dxa"/>
              <w:left w:w="100" w:type="dxa"/>
              <w:bottom w:w="80" w:type="dxa"/>
              <w:right w:w="100" w:type="dxa"/>
            </w:tcMar>
            <w:vAlign w:val="center"/>
          </w:tcPr>
          <w:p w14:paraId="0D890147" w14:textId="77777777" w:rsidR="008E7E6D" w:rsidRDefault="00000000">
            <w:pPr>
              <w:jc w:val="center"/>
            </w:pPr>
            <w:r>
              <w:rPr>
                <w:rFonts w:ascii="Calibri" w:eastAsia="Calibri" w:hAnsi="Calibri" w:cs="Calibri"/>
                <w:b/>
                <w:bCs/>
                <w:color w:val="FFFFFF"/>
                <w:sz w:val="18"/>
                <w:szCs w:val="18"/>
              </w:rPr>
              <w:t xml:space="preserve">Part capex </w:t>
            </w:r>
            <w:proofErr w:type="spellStart"/>
            <w:r>
              <w:rPr>
                <w:rFonts w:ascii="Calibri" w:eastAsia="Calibri" w:hAnsi="Calibri" w:cs="Calibri"/>
                <w:b/>
                <w:bCs/>
                <w:color w:val="FFFFFF"/>
                <w:sz w:val="18"/>
                <w:szCs w:val="18"/>
              </w:rPr>
              <w:t>typique</w:t>
            </w:r>
            <w:proofErr w:type="spellEnd"/>
          </w:p>
        </w:tc>
        <w:tc>
          <w:tcPr>
            <w:tcW w:w="4000" w:type="dxa"/>
            <w:shd w:val="clear" w:color="auto" w:fill="1B3A54"/>
            <w:tcMar>
              <w:top w:w="80" w:type="dxa"/>
              <w:left w:w="100" w:type="dxa"/>
              <w:bottom w:w="80" w:type="dxa"/>
              <w:right w:w="100" w:type="dxa"/>
            </w:tcMar>
            <w:vAlign w:val="center"/>
          </w:tcPr>
          <w:p w14:paraId="5C02CABF" w14:textId="77777777" w:rsidR="008E7E6D" w:rsidRDefault="00000000">
            <w:pPr>
              <w:jc w:val="center"/>
            </w:pPr>
            <w:r>
              <w:rPr>
                <w:rFonts w:ascii="Calibri" w:eastAsia="Calibri" w:hAnsi="Calibri" w:cs="Calibri"/>
                <w:b/>
                <w:bCs/>
                <w:color w:val="FFFFFF"/>
                <w:sz w:val="18"/>
                <w:szCs w:val="18"/>
              </w:rPr>
              <w:t xml:space="preserve">Levier de </w:t>
            </w:r>
            <w:proofErr w:type="spellStart"/>
            <w:r>
              <w:rPr>
                <w:rFonts w:ascii="Calibri" w:eastAsia="Calibri" w:hAnsi="Calibri" w:cs="Calibri"/>
                <w:b/>
                <w:bCs/>
                <w:color w:val="FFFFFF"/>
                <w:sz w:val="18"/>
                <w:szCs w:val="18"/>
              </w:rPr>
              <w:t>baisse</w:t>
            </w:r>
            <w:proofErr w:type="spellEnd"/>
          </w:p>
        </w:tc>
      </w:tr>
      <w:tr w:rsidR="008E7E6D" w:rsidRPr="008308F6" w14:paraId="5A4256B5" w14:textId="77777777">
        <w:tblPrEx>
          <w:tblCellMar>
            <w:top w:w="0" w:type="dxa"/>
            <w:bottom w:w="0" w:type="dxa"/>
          </w:tblCellMar>
        </w:tblPrEx>
        <w:tc>
          <w:tcPr>
            <w:tcW w:w="3600" w:type="dxa"/>
            <w:tcMar>
              <w:top w:w="80" w:type="dxa"/>
              <w:left w:w="100" w:type="dxa"/>
              <w:bottom w:w="80" w:type="dxa"/>
              <w:right w:w="100" w:type="dxa"/>
            </w:tcMar>
          </w:tcPr>
          <w:p w14:paraId="260A1F40" w14:textId="77777777" w:rsidR="008E7E6D" w:rsidRPr="008308F6" w:rsidRDefault="00000000">
            <w:pPr>
              <w:rPr>
                <w:lang w:val="fr-FR"/>
              </w:rPr>
            </w:pPr>
            <w:r w:rsidRPr="008308F6">
              <w:rPr>
                <w:rFonts w:ascii="Calibri" w:eastAsia="Calibri" w:hAnsi="Calibri" w:cs="Calibri"/>
                <w:color w:val="222222"/>
                <w:sz w:val="18"/>
                <w:szCs w:val="18"/>
                <w:lang w:val="fr-FR"/>
              </w:rPr>
              <w:t>Forage + cimentation + sondes double U</w:t>
            </w:r>
          </w:p>
        </w:tc>
        <w:tc>
          <w:tcPr>
            <w:tcW w:w="2000" w:type="dxa"/>
            <w:tcMar>
              <w:top w:w="80" w:type="dxa"/>
              <w:left w:w="100" w:type="dxa"/>
              <w:bottom w:w="80" w:type="dxa"/>
              <w:right w:w="100" w:type="dxa"/>
            </w:tcMar>
          </w:tcPr>
          <w:p w14:paraId="6D5DA5DA" w14:textId="77777777" w:rsidR="008E7E6D" w:rsidRDefault="00000000">
            <w:r>
              <w:rPr>
                <w:rFonts w:ascii="Calibri" w:eastAsia="Calibri" w:hAnsi="Calibri" w:cs="Calibri"/>
                <w:color w:val="222222"/>
                <w:sz w:val="18"/>
                <w:szCs w:val="18"/>
              </w:rPr>
              <w:t>35–55 %</w:t>
            </w:r>
          </w:p>
        </w:tc>
        <w:tc>
          <w:tcPr>
            <w:tcW w:w="4000" w:type="dxa"/>
            <w:tcMar>
              <w:top w:w="80" w:type="dxa"/>
              <w:left w:w="100" w:type="dxa"/>
              <w:bottom w:w="80" w:type="dxa"/>
              <w:right w:w="100" w:type="dxa"/>
            </w:tcMar>
          </w:tcPr>
          <w:p w14:paraId="3CB0809A" w14:textId="77777777" w:rsidR="008E7E6D" w:rsidRPr="008308F6" w:rsidRDefault="00000000">
            <w:pPr>
              <w:rPr>
                <w:lang w:val="fr-FR"/>
              </w:rPr>
            </w:pPr>
            <w:r w:rsidRPr="008308F6">
              <w:rPr>
                <w:rFonts w:ascii="Calibri" w:eastAsia="Calibri" w:hAnsi="Calibri" w:cs="Calibri"/>
                <w:color w:val="222222"/>
                <w:sz w:val="18"/>
                <w:szCs w:val="18"/>
                <w:lang w:val="fr-FR"/>
              </w:rPr>
              <w:t>Cadence, standardisation Ø, multi-puits, étoile, automatisation</w:t>
            </w:r>
          </w:p>
        </w:tc>
      </w:tr>
      <w:tr w:rsidR="008E7E6D" w:rsidRPr="008308F6" w14:paraId="06D8B126" w14:textId="77777777">
        <w:tblPrEx>
          <w:tblCellMar>
            <w:top w:w="0" w:type="dxa"/>
            <w:bottom w:w="0" w:type="dxa"/>
          </w:tblCellMar>
        </w:tblPrEx>
        <w:tc>
          <w:tcPr>
            <w:tcW w:w="3600" w:type="dxa"/>
            <w:shd w:val="clear" w:color="auto" w:fill="F4F4F2"/>
            <w:tcMar>
              <w:top w:w="80" w:type="dxa"/>
              <w:left w:w="100" w:type="dxa"/>
              <w:bottom w:w="80" w:type="dxa"/>
              <w:right w:w="100" w:type="dxa"/>
            </w:tcMar>
          </w:tcPr>
          <w:p w14:paraId="3E053186" w14:textId="77777777" w:rsidR="008E7E6D" w:rsidRPr="008308F6" w:rsidRDefault="00000000">
            <w:pPr>
              <w:rPr>
                <w:lang w:val="fr-FR"/>
              </w:rPr>
            </w:pPr>
            <w:r w:rsidRPr="008308F6">
              <w:rPr>
                <w:rFonts w:ascii="Calibri" w:eastAsia="Calibri" w:hAnsi="Calibri" w:cs="Calibri"/>
                <w:color w:val="222222"/>
                <w:sz w:val="18"/>
                <w:szCs w:val="18"/>
                <w:lang w:val="fr-FR"/>
              </w:rPr>
              <w:t>PAC eau/eau + hydraulique + régulation</w:t>
            </w:r>
          </w:p>
        </w:tc>
        <w:tc>
          <w:tcPr>
            <w:tcW w:w="2000" w:type="dxa"/>
            <w:shd w:val="clear" w:color="auto" w:fill="F4F4F2"/>
            <w:tcMar>
              <w:top w:w="80" w:type="dxa"/>
              <w:left w:w="100" w:type="dxa"/>
              <w:bottom w:w="80" w:type="dxa"/>
              <w:right w:w="100" w:type="dxa"/>
            </w:tcMar>
          </w:tcPr>
          <w:p w14:paraId="6849BE5D" w14:textId="77777777" w:rsidR="008E7E6D" w:rsidRDefault="00000000">
            <w:r>
              <w:rPr>
                <w:rFonts w:ascii="Calibri" w:eastAsia="Calibri" w:hAnsi="Calibri" w:cs="Calibri"/>
                <w:color w:val="222222"/>
                <w:sz w:val="18"/>
                <w:szCs w:val="18"/>
              </w:rPr>
              <w:t>25–40 %</w:t>
            </w:r>
          </w:p>
        </w:tc>
        <w:tc>
          <w:tcPr>
            <w:tcW w:w="4000" w:type="dxa"/>
            <w:shd w:val="clear" w:color="auto" w:fill="F4F4F2"/>
            <w:tcMar>
              <w:top w:w="80" w:type="dxa"/>
              <w:left w:w="100" w:type="dxa"/>
              <w:bottom w:w="80" w:type="dxa"/>
              <w:right w:w="100" w:type="dxa"/>
            </w:tcMar>
          </w:tcPr>
          <w:p w14:paraId="7018EA12" w14:textId="77777777" w:rsidR="008E7E6D" w:rsidRPr="008308F6" w:rsidRDefault="00000000">
            <w:pPr>
              <w:rPr>
                <w:lang w:val="fr-FR"/>
              </w:rPr>
            </w:pPr>
            <w:r w:rsidRPr="008308F6">
              <w:rPr>
                <w:rFonts w:ascii="Calibri" w:eastAsia="Calibri" w:hAnsi="Calibri" w:cs="Calibri"/>
                <w:color w:val="222222"/>
                <w:sz w:val="18"/>
                <w:szCs w:val="18"/>
                <w:lang w:val="fr-FR"/>
              </w:rPr>
              <w:t>Séries industrielles européennes, CEE BAR-TH-178 / BAT-TH-162</w:t>
            </w:r>
          </w:p>
        </w:tc>
      </w:tr>
      <w:tr w:rsidR="008E7E6D" w:rsidRPr="008308F6" w14:paraId="73DC3E4E" w14:textId="77777777">
        <w:tblPrEx>
          <w:tblCellMar>
            <w:top w:w="0" w:type="dxa"/>
            <w:bottom w:w="0" w:type="dxa"/>
          </w:tblCellMar>
        </w:tblPrEx>
        <w:tc>
          <w:tcPr>
            <w:tcW w:w="3600" w:type="dxa"/>
            <w:tcMar>
              <w:top w:w="80" w:type="dxa"/>
              <w:left w:w="100" w:type="dxa"/>
              <w:bottom w:w="80" w:type="dxa"/>
              <w:right w:w="100" w:type="dxa"/>
            </w:tcMar>
          </w:tcPr>
          <w:p w14:paraId="4210B4FA" w14:textId="77777777" w:rsidR="008E7E6D" w:rsidRDefault="00000000">
            <w:r>
              <w:rPr>
                <w:rFonts w:ascii="Calibri" w:eastAsia="Calibri" w:hAnsi="Calibri" w:cs="Calibri"/>
                <w:color w:val="222222"/>
                <w:sz w:val="18"/>
                <w:szCs w:val="18"/>
              </w:rPr>
              <w:t>Études, TRT, AMO, assurances</w:t>
            </w:r>
          </w:p>
        </w:tc>
        <w:tc>
          <w:tcPr>
            <w:tcW w:w="2000" w:type="dxa"/>
            <w:tcMar>
              <w:top w:w="80" w:type="dxa"/>
              <w:left w:w="100" w:type="dxa"/>
              <w:bottom w:w="80" w:type="dxa"/>
              <w:right w:w="100" w:type="dxa"/>
            </w:tcMar>
          </w:tcPr>
          <w:p w14:paraId="15FBC12D" w14:textId="77777777" w:rsidR="008E7E6D" w:rsidRDefault="00000000">
            <w:r>
              <w:rPr>
                <w:rFonts w:ascii="Calibri" w:eastAsia="Calibri" w:hAnsi="Calibri" w:cs="Calibri"/>
                <w:color w:val="222222"/>
                <w:sz w:val="18"/>
                <w:szCs w:val="18"/>
              </w:rPr>
              <w:t>8–15 %</w:t>
            </w:r>
          </w:p>
        </w:tc>
        <w:tc>
          <w:tcPr>
            <w:tcW w:w="4000" w:type="dxa"/>
            <w:tcMar>
              <w:top w:w="80" w:type="dxa"/>
              <w:left w:w="100" w:type="dxa"/>
              <w:bottom w:w="80" w:type="dxa"/>
              <w:right w:w="100" w:type="dxa"/>
            </w:tcMar>
          </w:tcPr>
          <w:p w14:paraId="762E9377" w14:textId="77777777" w:rsidR="008E7E6D" w:rsidRPr="008308F6" w:rsidRDefault="00000000">
            <w:pPr>
              <w:rPr>
                <w:lang w:val="fr-FR"/>
              </w:rPr>
            </w:pPr>
            <w:r w:rsidRPr="008308F6">
              <w:rPr>
                <w:rFonts w:ascii="Calibri" w:eastAsia="Calibri" w:hAnsi="Calibri" w:cs="Calibri"/>
                <w:color w:val="222222"/>
                <w:sz w:val="18"/>
                <w:szCs w:val="18"/>
                <w:lang w:val="fr-FR"/>
              </w:rPr>
              <w:t>Dossiers types, SOP, mutualisation inter-communes</w:t>
            </w:r>
          </w:p>
        </w:tc>
      </w:tr>
      <w:tr w:rsidR="008E7E6D" w:rsidRPr="008308F6" w14:paraId="14CDC070" w14:textId="77777777">
        <w:tblPrEx>
          <w:tblCellMar>
            <w:top w:w="0" w:type="dxa"/>
            <w:bottom w:w="0" w:type="dxa"/>
          </w:tblCellMar>
        </w:tblPrEx>
        <w:tc>
          <w:tcPr>
            <w:tcW w:w="3600" w:type="dxa"/>
            <w:shd w:val="clear" w:color="auto" w:fill="F4F4F2"/>
            <w:tcMar>
              <w:top w:w="80" w:type="dxa"/>
              <w:left w:w="100" w:type="dxa"/>
              <w:bottom w:w="80" w:type="dxa"/>
              <w:right w:w="100" w:type="dxa"/>
            </w:tcMar>
          </w:tcPr>
          <w:p w14:paraId="634F1CC3" w14:textId="77777777" w:rsidR="008E7E6D" w:rsidRPr="008308F6" w:rsidRDefault="00000000">
            <w:pPr>
              <w:rPr>
                <w:lang w:val="fr-FR"/>
              </w:rPr>
            </w:pPr>
            <w:r w:rsidRPr="008308F6">
              <w:rPr>
                <w:rFonts w:ascii="Calibri" w:eastAsia="Calibri" w:hAnsi="Calibri" w:cs="Calibri"/>
                <w:color w:val="222222"/>
                <w:sz w:val="18"/>
                <w:szCs w:val="18"/>
                <w:lang w:val="fr-FR"/>
              </w:rPr>
              <w:t>Génie civil, local technique, raccordements</w:t>
            </w:r>
          </w:p>
        </w:tc>
        <w:tc>
          <w:tcPr>
            <w:tcW w:w="2000" w:type="dxa"/>
            <w:shd w:val="clear" w:color="auto" w:fill="F4F4F2"/>
            <w:tcMar>
              <w:top w:w="80" w:type="dxa"/>
              <w:left w:w="100" w:type="dxa"/>
              <w:bottom w:w="80" w:type="dxa"/>
              <w:right w:w="100" w:type="dxa"/>
            </w:tcMar>
          </w:tcPr>
          <w:p w14:paraId="6D0F4A5E" w14:textId="77777777" w:rsidR="008E7E6D" w:rsidRDefault="00000000">
            <w:r>
              <w:rPr>
                <w:rFonts w:ascii="Calibri" w:eastAsia="Calibri" w:hAnsi="Calibri" w:cs="Calibri"/>
                <w:color w:val="222222"/>
                <w:sz w:val="18"/>
                <w:szCs w:val="18"/>
              </w:rPr>
              <w:t>10–20 %</w:t>
            </w:r>
          </w:p>
        </w:tc>
        <w:tc>
          <w:tcPr>
            <w:tcW w:w="4000" w:type="dxa"/>
            <w:shd w:val="clear" w:color="auto" w:fill="F4F4F2"/>
            <w:tcMar>
              <w:top w:w="80" w:type="dxa"/>
              <w:left w:w="100" w:type="dxa"/>
              <w:bottom w:w="80" w:type="dxa"/>
              <w:right w:w="100" w:type="dxa"/>
            </w:tcMar>
          </w:tcPr>
          <w:p w14:paraId="7EA4D6B4" w14:textId="77777777" w:rsidR="008E7E6D" w:rsidRPr="008308F6" w:rsidRDefault="00000000">
            <w:pPr>
              <w:rPr>
                <w:lang w:val="fr-FR"/>
              </w:rPr>
            </w:pPr>
            <w:r w:rsidRPr="008308F6">
              <w:rPr>
                <w:rFonts w:ascii="Calibri" w:eastAsia="Calibri" w:hAnsi="Calibri" w:cs="Calibri"/>
                <w:color w:val="222222"/>
                <w:sz w:val="18"/>
                <w:szCs w:val="18"/>
                <w:lang w:val="fr-FR"/>
              </w:rPr>
              <w:t>Emprise réduite (étoile), intervention en site occupé</w:t>
            </w:r>
          </w:p>
        </w:tc>
      </w:tr>
    </w:tbl>
    <w:p w14:paraId="345C44B5" w14:textId="77777777" w:rsidR="008E7E6D" w:rsidRPr="008308F6" w:rsidRDefault="00000000">
      <w:pPr>
        <w:spacing w:before="260" w:after="120"/>
        <w:rPr>
          <w:lang w:val="fr-FR"/>
        </w:rPr>
      </w:pPr>
      <w:proofErr w:type="gramStart"/>
      <w:r w:rsidRPr="008308F6">
        <w:rPr>
          <w:rFonts w:ascii="Calibri" w:eastAsia="Calibri" w:hAnsi="Calibri" w:cs="Calibri"/>
          <w:b/>
          <w:bCs/>
          <w:color w:val="1F6F5C"/>
          <w:sz w:val="24"/>
          <w:szCs w:val="24"/>
          <w:lang w:val="fr-FR"/>
        </w:rPr>
        <w:t>3.3  Compte</w:t>
      </w:r>
      <w:proofErr w:type="gramEnd"/>
      <w:r w:rsidRPr="008308F6">
        <w:rPr>
          <w:rFonts w:ascii="Calibri" w:eastAsia="Calibri" w:hAnsi="Calibri" w:cs="Calibri"/>
          <w:b/>
          <w:bCs/>
          <w:color w:val="1F6F5C"/>
          <w:sz w:val="24"/>
          <w:szCs w:val="24"/>
          <w:lang w:val="fr-FR"/>
        </w:rPr>
        <w:t xml:space="preserve"> d'exploitation — où se gagne le ROI</w:t>
      </w:r>
    </w:p>
    <w:p w14:paraId="52C49A30" w14:textId="77777777" w:rsidR="008E7E6D" w:rsidRDefault="00000000">
      <w:pPr>
        <w:spacing w:after="160" w:line="276" w:lineRule="auto"/>
        <w:jc w:val="both"/>
      </w:pPr>
      <w:r w:rsidRPr="008308F6">
        <w:rPr>
          <w:rFonts w:ascii="Calibri" w:eastAsia="Calibri" w:hAnsi="Calibri" w:cs="Calibri"/>
          <w:color w:val="222222"/>
          <w:sz w:val="21"/>
          <w:szCs w:val="21"/>
          <w:lang w:val="fr-FR"/>
        </w:rPr>
        <w:t xml:space="preserve">L'exploitation inverse le rapport. Une fois le trou foré, le kWh thermique sort à un coût marginal bas, local, non importé, non exposé au TTF gaz. Le COP 4–5 divise par quatre à cinq l'électricité consommée par rapport à un effet Joule, et par deux environ par rapport à une PAC air/eau en hiver rigoureux. </w:t>
      </w:r>
      <w:r>
        <w:rPr>
          <w:rFonts w:ascii="Calibri" w:eastAsia="Calibri" w:hAnsi="Calibri" w:cs="Calibri"/>
          <w:color w:val="222222"/>
          <w:sz w:val="21"/>
          <w:szCs w:val="21"/>
        </w:rPr>
        <w:t xml:space="preserve">Les sondes </w:t>
      </w:r>
      <w:proofErr w:type="spellStart"/>
      <w:r>
        <w:rPr>
          <w:rFonts w:ascii="Calibri" w:eastAsia="Calibri" w:hAnsi="Calibri" w:cs="Calibri"/>
          <w:color w:val="222222"/>
          <w:sz w:val="21"/>
          <w:szCs w:val="21"/>
        </w:rPr>
        <w:t>survivent</w:t>
      </w:r>
      <w:proofErr w:type="spellEnd"/>
      <w:r>
        <w:rPr>
          <w:rFonts w:ascii="Calibri" w:eastAsia="Calibri" w:hAnsi="Calibri" w:cs="Calibri"/>
          <w:color w:val="222222"/>
          <w:sz w:val="21"/>
          <w:szCs w:val="21"/>
        </w:rPr>
        <w:t xml:space="preserve"> à deux </w:t>
      </w:r>
      <w:proofErr w:type="spellStart"/>
      <w:r>
        <w:rPr>
          <w:rFonts w:ascii="Calibri" w:eastAsia="Calibri" w:hAnsi="Calibri" w:cs="Calibri"/>
          <w:color w:val="222222"/>
          <w:sz w:val="21"/>
          <w:szCs w:val="21"/>
        </w:rPr>
        <w:t>générations</w:t>
      </w:r>
      <w:proofErr w:type="spellEnd"/>
      <w:r>
        <w:rPr>
          <w:rFonts w:ascii="Calibri" w:eastAsia="Calibri" w:hAnsi="Calibri" w:cs="Calibri"/>
          <w:color w:val="222222"/>
          <w:sz w:val="21"/>
          <w:szCs w:val="21"/>
        </w:rPr>
        <w:t xml:space="preserve"> de PAC.</w:t>
      </w:r>
    </w:p>
    <w:tbl>
      <w:tblPr>
        <w:tblW w:w="9600" w:type="dxa"/>
        <w:tblBorders>
          <w:top w:val="single" w:sz="2" w:space="0" w:color="CCCCCC"/>
          <w:left w:val="single" w:sz="2" w:space="0" w:color="CCCCCC"/>
          <w:bottom w:val="single" w:sz="2" w:space="0" w:color="CCCCCC"/>
          <w:right w:val="single" w:sz="2" w:space="0" w:color="CCCCCC"/>
          <w:insideH w:val="single" w:sz="2" w:space="0" w:color="DDDDDD"/>
          <w:insideV w:val="single" w:sz="2" w:space="0" w:color="DDDDDD"/>
        </w:tblBorders>
        <w:tblCellMar>
          <w:left w:w="10" w:type="dxa"/>
          <w:right w:w="10" w:type="dxa"/>
        </w:tblCellMar>
        <w:tblLook w:val="04A0" w:firstRow="1" w:lastRow="0" w:firstColumn="1" w:lastColumn="0" w:noHBand="0" w:noVBand="1"/>
      </w:tblPr>
      <w:tblGrid>
        <w:gridCol w:w="2400"/>
        <w:gridCol w:w="2400"/>
        <w:gridCol w:w="2400"/>
        <w:gridCol w:w="2400"/>
      </w:tblGrid>
      <w:tr w:rsidR="008E7E6D" w14:paraId="42C979E7" w14:textId="77777777">
        <w:tblPrEx>
          <w:tblCellMar>
            <w:top w:w="0" w:type="dxa"/>
            <w:bottom w:w="0" w:type="dxa"/>
          </w:tblCellMar>
        </w:tblPrEx>
        <w:trPr>
          <w:tblHeader/>
        </w:trPr>
        <w:tc>
          <w:tcPr>
            <w:tcW w:w="2400" w:type="dxa"/>
            <w:shd w:val="clear" w:color="auto" w:fill="1B3A54"/>
            <w:tcMar>
              <w:top w:w="80" w:type="dxa"/>
              <w:left w:w="100" w:type="dxa"/>
              <w:bottom w:w="80" w:type="dxa"/>
              <w:right w:w="100" w:type="dxa"/>
            </w:tcMar>
            <w:vAlign w:val="center"/>
          </w:tcPr>
          <w:p w14:paraId="5B5BF362" w14:textId="77777777" w:rsidR="008E7E6D" w:rsidRDefault="00000000">
            <w:pPr>
              <w:jc w:val="center"/>
            </w:pPr>
            <w:r>
              <w:rPr>
                <w:rFonts w:ascii="Calibri" w:eastAsia="Calibri" w:hAnsi="Calibri" w:cs="Calibri"/>
                <w:b/>
                <w:bCs/>
                <w:color w:val="FFFFFF"/>
                <w:sz w:val="18"/>
                <w:szCs w:val="18"/>
              </w:rPr>
              <w:t>Grandeur</w:t>
            </w:r>
          </w:p>
        </w:tc>
        <w:tc>
          <w:tcPr>
            <w:tcW w:w="2400" w:type="dxa"/>
            <w:shd w:val="clear" w:color="auto" w:fill="1B3A54"/>
            <w:tcMar>
              <w:top w:w="80" w:type="dxa"/>
              <w:left w:w="100" w:type="dxa"/>
              <w:bottom w:w="80" w:type="dxa"/>
              <w:right w:w="100" w:type="dxa"/>
            </w:tcMar>
            <w:vAlign w:val="center"/>
          </w:tcPr>
          <w:p w14:paraId="7194EF88" w14:textId="77777777" w:rsidR="008E7E6D" w:rsidRDefault="00000000">
            <w:pPr>
              <w:jc w:val="center"/>
            </w:pPr>
            <w:proofErr w:type="spellStart"/>
            <w:r>
              <w:rPr>
                <w:rFonts w:ascii="Calibri" w:eastAsia="Calibri" w:hAnsi="Calibri" w:cs="Calibri"/>
                <w:b/>
                <w:bCs/>
                <w:color w:val="FFFFFF"/>
                <w:sz w:val="18"/>
                <w:szCs w:val="18"/>
              </w:rPr>
              <w:t>Fossile</w:t>
            </w:r>
            <w:proofErr w:type="spellEnd"/>
            <w:r>
              <w:rPr>
                <w:rFonts w:ascii="Calibri" w:eastAsia="Calibri" w:hAnsi="Calibri" w:cs="Calibri"/>
                <w:b/>
                <w:bCs/>
                <w:color w:val="FFFFFF"/>
                <w:sz w:val="18"/>
                <w:szCs w:val="18"/>
              </w:rPr>
              <w:t>/</w:t>
            </w:r>
            <w:proofErr w:type="spellStart"/>
            <w:r>
              <w:rPr>
                <w:rFonts w:ascii="Calibri" w:eastAsia="Calibri" w:hAnsi="Calibri" w:cs="Calibri"/>
                <w:b/>
                <w:bCs/>
                <w:color w:val="FFFFFF"/>
                <w:sz w:val="18"/>
                <w:szCs w:val="18"/>
              </w:rPr>
              <w:t>importé</w:t>
            </w:r>
            <w:proofErr w:type="spellEnd"/>
            <w:r>
              <w:rPr>
                <w:rFonts w:ascii="Calibri" w:eastAsia="Calibri" w:hAnsi="Calibri" w:cs="Calibri"/>
                <w:b/>
                <w:bCs/>
                <w:color w:val="FFFFFF"/>
                <w:sz w:val="18"/>
                <w:szCs w:val="18"/>
              </w:rPr>
              <w:t xml:space="preserve"> (</w:t>
            </w:r>
            <w:proofErr w:type="spellStart"/>
            <w:r>
              <w:rPr>
                <w:rFonts w:ascii="Calibri" w:eastAsia="Calibri" w:hAnsi="Calibri" w:cs="Calibri"/>
                <w:b/>
                <w:bCs/>
                <w:color w:val="FFFFFF"/>
                <w:sz w:val="18"/>
                <w:szCs w:val="18"/>
              </w:rPr>
              <w:t>réf</w:t>
            </w:r>
            <w:proofErr w:type="spellEnd"/>
            <w:r>
              <w:rPr>
                <w:rFonts w:ascii="Calibri" w:eastAsia="Calibri" w:hAnsi="Calibri" w:cs="Calibri"/>
                <w:b/>
                <w:bCs/>
                <w:color w:val="FFFFFF"/>
                <w:sz w:val="18"/>
                <w:szCs w:val="18"/>
              </w:rPr>
              <w:t>.)</w:t>
            </w:r>
          </w:p>
        </w:tc>
        <w:tc>
          <w:tcPr>
            <w:tcW w:w="2400" w:type="dxa"/>
            <w:shd w:val="clear" w:color="auto" w:fill="1B3A54"/>
            <w:tcMar>
              <w:top w:w="80" w:type="dxa"/>
              <w:left w:w="100" w:type="dxa"/>
              <w:bottom w:w="80" w:type="dxa"/>
              <w:right w:w="100" w:type="dxa"/>
            </w:tcMar>
            <w:vAlign w:val="center"/>
          </w:tcPr>
          <w:p w14:paraId="79B63B0D" w14:textId="77777777" w:rsidR="008E7E6D" w:rsidRDefault="00000000">
            <w:pPr>
              <w:jc w:val="center"/>
            </w:pPr>
            <w:proofErr w:type="spellStart"/>
            <w:r>
              <w:rPr>
                <w:rFonts w:ascii="Calibri" w:eastAsia="Calibri" w:hAnsi="Calibri" w:cs="Calibri"/>
                <w:b/>
                <w:bCs/>
                <w:color w:val="FFFFFF"/>
                <w:sz w:val="18"/>
                <w:szCs w:val="18"/>
              </w:rPr>
              <w:t>Géothermie</w:t>
            </w:r>
            <w:proofErr w:type="spellEnd"/>
            <w:r>
              <w:rPr>
                <w:rFonts w:ascii="Calibri" w:eastAsia="Calibri" w:hAnsi="Calibri" w:cs="Calibri"/>
                <w:b/>
                <w:bCs/>
                <w:color w:val="FFFFFF"/>
                <w:sz w:val="18"/>
                <w:szCs w:val="18"/>
              </w:rPr>
              <w:t xml:space="preserve"> </w:t>
            </w:r>
            <w:proofErr w:type="spellStart"/>
            <w:r>
              <w:rPr>
                <w:rFonts w:ascii="Calibri" w:eastAsia="Calibri" w:hAnsi="Calibri" w:cs="Calibri"/>
                <w:b/>
                <w:bCs/>
                <w:color w:val="FFFFFF"/>
                <w:sz w:val="18"/>
                <w:szCs w:val="18"/>
              </w:rPr>
              <w:t>souveraine</w:t>
            </w:r>
            <w:proofErr w:type="spellEnd"/>
          </w:p>
        </w:tc>
        <w:tc>
          <w:tcPr>
            <w:tcW w:w="2400" w:type="dxa"/>
            <w:shd w:val="clear" w:color="auto" w:fill="1B3A54"/>
            <w:tcMar>
              <w:top w:w="80" w:type="dxa"/>
              <w:left w:w="100" w:type="dxa"/>
              <w:bottom w:w="80" w:type="dxa"/>
              <w:right w:w="100" w:type="dxa"/>
            </w:tcMar>
            <w:vAlign w:val="center"/>
          </w:tcPr>
          <w:p w14:paraId="5F044B4C" w14:textId="77777777" w:rsidR="008E7E6D" w:rsidRDefault="00000000">
            <w:pPr>
              <w:jc w:val="center"/>
            </w:pPr>
            <w:proofErr w:type="spellStart"/>
            <w:r>
              <w:rPr>
                <w:rFonts w:ascii="Calibri" w:eastAsia="Calibri" w:hAnsi="Calibri" w:cs="Calibri"/>
                <w:b/>
                <w:bCs/>
                <w:color w:val="FFFFFF"/>
                <w:sz w:val="18"/>
                <w:szCs w:val="18"/>
              </w:rPr>
              <w:t>Effet</w:t>
            </w:r>
            <w:proofErr w:type="spellEnd"/>
          </w:p>
        </w:tc>
      </w:tr>
      <w:tr w:rsidR="008E7E6D" w:rsidRPr="008308F6" w14:paraId="54DDBCA6" w14:textId="77777777">
        <w:tblPrEx>
          <w:tblCellMar>
            <w:top w:w="0" w:type="dxa"/>
            <w:bottom w:w="0" w:type="dxa"/>
          </w:tblCellMar>
        </w:tblPrEx>
        <w:tc>
          <w:tcPr>
            <w:tcW w:w="2400" w:type="dxa"/>
            <w:tcMar>
              <w:top w:w="80" w:type="dxa"/>
              <w:left w:w="100" w:type="dxa"/>
              <w:bottom w:w="80" w:type="dxa"/>
              <w:right w:w="100" w:type="dxa"/>
            </w:tcMar>
          </w:tcPr>
          <w:p w14:paraId="46565DD9" w14:textId="77777777" w:rsidR="008E7E6D" w:rsidRPr="008308F6" w:rsidRDefault="00000000">
            <w:pPr>
              <w:rPr>
                <w:lang w:val="fr-FR"/>
              </w:rPr>
            </w:pPr>
            <w:r w:rsidRPr="008308F6">
              <w:rPr>
                <w:rFonts w:ascii="Calibri" w:eastAsia="Calibri" w:hAnsi="Calibri" w:cs="Calibri"/>
                <w:color w:val="222222"/>
                <w:sz w:val="18"/>
                <w:szCs w:val="18"/>
                <w:lang w:val="fr-FR"/>
              </w:rPr>
              <w:t>Coût d'énergie annuel (collectif type)</w:t>
            </w:r>
          </w:p>
        </w:tc>
        <w:tc>
          <w:tcPr>
            <w:tcW w:w="2400" w:type="dxa"/>
            <w:tcMar>
              <w:top w:w="80" w:type="dxa"/>
              <w:left w:w="100" w:type="dxa"/>
              <w:bottom w:w="80" w:type="dxa"/>
              <w:right w:w="100" w:type="dxa"/>
            </w:tcMar>
          </w:tcPr>
          <w:p w14:paraId="7A5B19E2" w14:textId="77777777" w:rsidR="008E7E6D" w:rsidRDefault="00000000">
            <w:r>
              <w:rPr>
                <w:rFonts w:ascii="Calibri" w:eastAsia="Calibri" w:hAnsi="Calibri" w:cs="Calibri"/>
                <w:color w:val="222222"/>
                <w:sz w:val="18"/>
                <w:szCs w:val="18"/>
              </w:rPr>
              <w:t xml:space="preserve">Gaz / </w:t>
            </w:r>
            <w:proofErr w:type="spellStart"/>
            <w:r>
              <w:rPr>
                <w:rFonts w:ascii="Calibri" w:eastAsia="Calibri" w:hAnsi="Calibri" w:cs="Calibri"/>
                <w:color w:val="222222"/>
                <w:sz w:val="18"/>
                <w:szCs w:val="18"/>
              </w:rPr>
              <w:t>fioul</w:t>
            </w:r>
            <w:proofErr w:type="spellEnd"/>
            <w:r>
              <w:rPr>
                <w:rFonts w:ascii="Calibri" w:eastAsia="Calibri" w:hAnsi="Calibri" w:cs="Calibri"/>
                <w:color w:val="222222"/>
                <w:sz w:val="18"/>
                <w:szCs w:val="18"/>
              </w:rPr>
              <w:t xml:space="preserve"> </w:t>
            </w:r>
            <w:proofErr w:type="spellStart"/>
            <w:r>
              <w:rPr>
                <w:rFonts w:ascii="Calibri" w:eastAsia="Calibri" w:hAnsi="Calibri" w:cs="Calibri"/>
                <w:color w:val="222222"/>
                <w:sz w:val="18"/>
                <w:szCs w:val="18"/>
              </w:rPr>
              <w:t>volatil</w:t>
            </w:r>
            <w:proofErr w:type="spellEnd"/>
          </w:p>
        </w:tc>
        <w:tc>
          <w:tcPr>
            <w:tcW w:w="2400" w:type="dxa"/>
            <w:tcMar>
              <w:top w:w="80" w:type="dxa"/>
              <w:left w:w="100" w:type="dxa"/>
              <w:bottom w:w="80" w:type="dxa"/>
              <w:right w:w="100" w:type="dxa"/>
            </w:tcMar>
          </w:tcPr>
          <w:p w14:paraId="13FCDAF5" w14:textId="77777777" w:rsidR="008E7E6D" w:rsidRPr="008308F6" w:rsidRDefault="00000000">
            <w:pPr>
              <w:rPr>
                <w:lang w:val="fr-FR"/>
              </w:rPr>
            </w:pPr>
            <w:r w:rsidRPr="008308F6">
              <w:rPr>
                <w:rFonts w:ascii="Calibri" w:eastAsia="Calibri" w:hAnsi="Calibri" w:cs="Calibri"/>
                <w:color w:val="222222"/>
                <w:sz w:val="18"/>
                <w:szCs w:val="18"/>
                <w:lang w:val="fr-FR"/>
              </w:rPr>
              <w:t>Électricité × 1/COP + O&amp;M faible</w:t>
            </w:r>
          </w:p>
        </w:tc>
        <w:tc>
          <w:tcPr>
            <w:tcW w:w="2400" w:type="dxa"/>
            <w:tcMar>
              <w:top w:w="80" w:type="dxa"/>
              <w:left w:w="100" w:type="dxa"/>
              <w:bottom w:w="80" w:type="dxa"/>
              <w:right w:w="100" w:type="dxa"/>
            </w:tcMar>
          </w:tcPr>
          <w:p w14:paraId="66689309" w14:textId="77777777" w:rsidR="008E7E6D" w:rsidRPr="008308F6" w:rsidRDefault="00000000">
            <w:pPr>
              <w:rPr>
                <w:lang w:val="fr-FR"/>
              </w:rPr>
            </w:pPr>
            <w:r w:rsidRPr="008308F6">
              <w:rPr>
                <w:rFonts w:ascii="Calibri" w:eastAsia="Calibri" w:hAnsi="Calibri" w:cs="Calibri"/>
                <w:color w:val="222222"/>
                <w:sz w:val="18"/>
                <w:szCs w:val="18"/>
                <w:lang w:val="fr-FR"/>
              </w:rPr>
              <w:t xml:space="preserve">−30 </w:t>
            </w:r>
            <w:proofErr w:type="spellStart"/>
            <w:r w:rsidRPr="008308F6">
              <w:rPr>
                <w:rFonts w:ascii="Calibri" w:eastAsia="Calibri" w:hAnsi="Calibri" w:cs="Calibri"/>
                <w:color w:val="222222"/>
                <w:sz w:val="18"/>
                <w:szCs w:val="18"/>
                <w:lang w:val="fr-FR"/>
              </w:rPr>
              <w:t>à</w:t>
            </w:r>
            <w:proofErr w:type="spellEnd"/>
            <w:r w:rsidRPr="008308F6">
              <w:rPr>
                <w:rFonts w:ascii="Calibri" w:eastAsia="Calibri" w:hAnsi="Calibri" w:cs="Calibri"/>
                <w:color w:val="222222"/>
                <w:sz w:val="18"/>
                <w:szCs w:val="18"/>
                <w:lang w:val="fr-FR"/>
              </w:rPr>
              <w:t xml:space="preserve"> −70 % selon tarif et JAZ</w:t>
            </w:r>
          </w:p>
        </w:tc>
      </w:tr>
      <w:tr w:rsidR="008E7E6D" w14:paraId="66DEACCB" w14:textId="77777777">
        <w:tblPrEx>
          <w:tblCellMar>
            <w:top w:w="0" w:type="dxa"/>
            <w:bottom w:w="0" w:type="dxa"/>
          </w:tblCellMar>
        </w:tblPrEx>
        <w:tc>
          <w:tcPr>
            <w:tcW w:w="2400" w:type="dxa"/>
            <w:shd w:val="clear" w:color="auto" w:fill="F4F4F2"/>
            <w:tcMar>
              <w:top w:w="80" w:type="dxa"/>
              <w:left w:w="100" w:type="dxa"/>
              <w:bottom w:w="80" w:type="dxa"/>
              <w:right w:w="100" w:type="dxa"/>
            </w:tcMar>
          </w:tcPr>
          <w:p w14:paraId="599B1A39" w14:textId="77777777" w:rsidR="008E7E6D" w:rsidRDefault="00000000">
            <w:r>
              <w:rPr>
                <w:rFonts w:ascii="Calibri" w:eastAsia="Calibri" w:hAnsi="Calibri" w:cs="Calibri"/>
                <w:color w:val="222222"/>
                <w:sz w:val="18"/>
                <w:szCs w:val="18"/>
              </w:rPr>
              <w:t xml:space="preserve">Durée de vie </w:t>
            </w:r>
            <w:proofErr w:type="spellStart"/>
            <w:r>
              <w:rPr>
                <w:rFonts w:ascii="Calibri" w:eastAsia="Calibri" w:hAnsi="Calibri" w:cs="Calibri"/>
                <w:color w:val="222222"/>
                <w:sz w:val="18"/>
                <w:szCs w:val="18"/>
              </w:rPr>
              <w:t>échangeur</w:t>
            </w:r>
            <w:proofErr w:type="spellEnd"/>
          </w:p>
        </w:tc>
        <w:tc>
          <w:tcPr>
            <w:tcW w:w="2400" w:type="dxa"/>
            <w:shd w:val="clear" w:color="auto" w:fill="F4F4F2"/>
            <w:tcMar>
              <w:top w:w="80" w:type="dxa"/>
              <w:left w:w="100" w:type="dxa"/>
              <w:bottom w:w="80" w:type="dxa"/>
              <w:right w:w="100" w:type="dxa"/>
            </w:tcMar>
          </w:tcPr>
          <w:p w14:paraId="2E49E875" w14:textId="77777777" w:rsidR="008E7E6D" w:rsidRDefault="00000000">
            <w:r>
              <w:rPr>
                <w:rFonts w:ascii="Calibri" w:eastAsia="Calibri" w:hAnsi="Calibri" w:cs="Calibri"/>
                <w:color w:val="222222"/>
                <w:sz w:val="18"/>
                <w:szCs w:val="18"/>
              </w:rPr>
              <w:t xml:space="preserve">15–20 </w:t>
            </w:r>
            <w:proofErr w:type="spellStart"/>
            <w:r>
              <w:rPr>
                <w:rFonts w:ascii="Calibri" w:eastAsia="Calibri" w:hAnsi="Calibri" w:cs="Calibri"/>
                <w:color w:val="222222"/>
                <w:sz w:val="18"/>
                <w:szCs w:val="18"/>
              </w:rPr>
              <w:t>ans</w:t>
            </w:r>
            <w:proofErr w:type="spellEnd"/>
            <w:r>
              <w:rPr>
                <w:rFonts w:ascii="Calibri" w:eastAsia="Calibri" w:hAnsi="Calibri" w:cs="Calibri"/>
                <w:color w:val="222222"/>
                <w:sz w:val="18"/>
                <w:szCs w:val="18"/>
              </w:rPr>
              <w:t xml:space="preserve"> </w:t>
            </w:r>
            <w:proofErr w:type="spellStart"/>
            <w:r>
              <w:rPr>
                <w:rFonts w:ascii="Calibri" w:eastAsia="Calibri" w:hAnsi="Calibri" w:cs="Calibri"/>
                <w:color w:val="222222"/>
                <w:sz w:val="18"/>
                <w:szCs w:val="18"/>
              </w:rPr>
              <w:t>chaudière</w:t>
            </w:r>
            <w:proofErr w:type="spellEnd"/>
          </w:p>
        </w:tc>
        <w:tc>
          <w:tcPr>
            <w:tcW w:w="2400" w:type="dxa"/>
            <w:shd w:val="clear" w:color="auto" w:fill="F4F4F2"/>
            <w:tcMar>
              <w:top w:w="80" w:type="dxa"/>
              <w:left w:w="100" w:type="dxa"/>
              <w:bottom w:w="80" w:type="dxa"/>
              <w:right w:w="100" w:type="dxa"/>
            </w:tcMar>
          </w:tcPr>
          <w:p w14:paraId="64678B9F" w14:textId="77777777" w:rsidR="008E7E6D" w:rsidRDefault="00000000">
            <w:r>
              <w:rPr>
                <w:rFonts w:ascii="Calibri" w:eastAsia="Calibri" w:hAnsi="Calibri" w:cs="Calibri"/>
                <w:color w:val="222222"/>
                <w:sz w:val="18"/>
                <w:szCs w:val="18"/>
              </w:rPr>
              <w:t xml:space="preserve">40–80 </w:t>
            </w:r>
            <w:proofErr w:type="spellStart"/>
            <w:r>
              <w:rPr>
                <w:rFonts w:ascii="Calibri" w:eastAsia="Calibri" w:hAnsi="Calibri" w:cs="Calibri"/>
                <w:color w:val="222222"/>
                <w:sz w:val="18"/>
                <w:szCs w:val="18"/>
              </w:rPr>
              <w:t>ans</w:t>
            </w:r>
            <w:proofErr w:type="spellEnd"/>
            <w:r>
              <w:rPr>
                <w:rFonts w:ascii="Calibri" w:eastAsia="Calibri" w:hAnsi="Calibri" w:cs="Calibri"/>
                <w:color w:val="222222"/>
                <w:sz w:val="18"/>
                <w:szCs w:val="18"/>
              </w:rPr>
              <w:t xml:space="preserve"> sondes / </w:t>
            </w:r>
            <w:proofErr w:type="spellStart"/>
            <w:r>
              <w:rPr>
                <w:rFonts w:ascii="Calibri" w:eastAsia="Calibri" w:hAnsi="Calibri" w:cs="Calibri"/>
                <w:color w:val="222222"/>
                <w:sz w:val="18"/>
                <w:szCs w:val="18"/>
              </w:rPr>
              <w:t>puits</w:t>
            </w:r>
            <w:proofErr w:type="spellEnd"/>
          </w:p>
        </w:tc>
        <w:tc>
          <w:tcPr>
            <w:tcW w:w="2400" w:type="dxa"/>
            <w:shd w:val="clear" w:color="auto" w:fill="F4F4F2"/>
            <w:tcMar>
              <w:top w:w="80" w:type="dxa"/>
              <w:left w:w="100" w:type="dxa"/>
              <w:bottom w:w="80" w:type="dxa"/>
              <w:right w:w="100" w:type="dxa"/>
            </w:tcMar>
          </w:tcPr>
          <w:p w14:paraId="736438A9" w14:textId="77777777" w:rsidR="008E7E6D" w:rsidRDefault="00000000">
            <w:r>
              <w:rPr>
                <w:rFonts w:ascii="Calibri" w:eastAsia="Calibri" w:hAnsi="Calibri" w:cs="Calibri"/>
                <w:color w:val="222222"/>
                <w:sz w:val="18"/>
                <w:szCs w:val="18"/>
              </w:rPr>
              <w:t xml:space="preserve">Capex forage </w:t>
            </w:r>
            <w:proofErr w:type="spellStart"/>
            <w:r>
              <w:rPr>
                <w:rFonts w:ascii="Calibri" w:eastAsia="Calibri" w:hAnsi="Calibri" w:cs="Calibri"/>
                <w:color w:val="222222"/>
                <w:sz w:val="18"/>
                <w:szCs w:val="18"/>
              </w:rPr>
              <w:t>amorti</w:t>
            </w:r>
            <w:proofErr w:type="spellEnd"/>
            <w:r>
              <w:rPr>
                <w:rFonts w:ascii="Calibri" w:eastAsia="Calibri" w:hAnsi="Calibri" w:cs="Calibri"/>
                <w:color w:val="222222"/>
                <w:sz w:val="18"/>
                <w:szCs w:val="18"/>
              </w:rPr>
              <w:t xml:space="preserve"> 2 </w:t>
            </w:r>
            <w:proofErr w:type="spellStart"/>
            <w:r>
              <w:rPr>
                <w:rFonts w:ascii="Calibri" w:eastAsia="Calibri" w:hAnsi="Calibri" w:cs="Calibri"/>
                <w:color w:val="222222"/>
                <w:sz w:val="18"/>
                <w:szCs w:val="18"/>
              </w:rPr>
              <w:t>fois</w:t>
            </w:r>
            <w:proofErr w:type="spellEnd"/>
          </w:p>
        </w:tc>
      </w:tr>
      <w:tr w:rsidR="008E7E6D" w14:paraId="27883386" w14:textId="77777777">
        <w:tblPrEx>
          <w:tblCellMar>
            <w:top w:w="0" w:type="dxa"/>
            <w:bottom w:w="0" w:type="dxa"/>
          </w:tblCellMar>
        </w:tblPrEx>
        <w:tc>
          <w:tcPr>
            <w:tcW w:w="2400" w:type="dxa"/>
            <w:tcMar>
              <w:top w:w="80" w:type="dxa"/>
              <w:left w:w="100" w:type="dxa"/>
              <w:bottom w:w="80" w:type="dxa"/>
              <w:right w:w="100" w:type="dxa"/>
            </w:tcMar>
          </w:tcPr>
          <w:p w14:paraId="0797DC43" w14:textId="77777777" w:rsidR="008E7E6D" w:rsidRDefault="00000000">
            <w:proofErr w:type="spellStart"/>
            <w:r>
              <w:rPr>
                <w:rFonts w:ascii="Calibri" w:eastAsia="Calibri" w:hAnsi="Calibri" w:cs="Calibri"/>
                <w:color w:val="222222"/>
                <w:sz w:val="18"/>
                <w:szCs w:val="18"/>
              </w:rPr>
              <w:t>Souveraineté</w:t>
            </w:r>
            <w:proofErr w:type="spellEnd"/>
          </w:p>
        </w:tc>
        <w:tc>
          <w:tcPr>
            <w:tcW w:w="2400" w:type="dxa"/>
            <w:tcMar>
              <w:top w:w="80" w:type="dxa"/>
              <w:left w:w="100" w:type="dxa"/>
              <w:bottom w:w="80" w:type="dxa"/>
              <w:right w:w="100" w:type="dxa"/>
            </w:tcMar>
          </w:tcPr>
          <w:p w14:paraId="67E9BB1F" w14:textId="77777777" w:rsidR="008E7E6D" w:rsidRDefault="00000000">
            <w:r>
              <w:rPr>
                <w:rFonts w:ascii="Calibri" w:eastAsia="Calibri" w:hAnsi="Calibri" w:cs="Calibri"/>
                <w:color w:val="222222"/>
                <w:sz w:val="18"/>
                <w:szCs w:val="18"/>
              </w:rPr>
              <w:t xml:space="preserve">Import </w:t>
            </w:r>
            <w:proofErr w:type="spellStart"/>
            <w:r>
              <w:rPr>
                <w:rFonts w:ascii="Calibri" w:eastAsia="Calibri" w:hAnsi="Calibri" w:cs="Calibri"/>
                <w:color w:val="222222"/>
                <w:sz w:val="18"/>
                <w:szCs w:val="18"/>
              </w:rPr>
              <w:t>gaz</w:t>
            </w:r>
            <w:proofErr w:type="spellEnd"/>
            <w:r>
              <w:rPr>
                <w:rFonts w:ascii="Calibri" w:eastAsia="Calibri" w:hAnsi="Calibri" w:cs="Calibri"/>
                <w:color w:val="222222"/>
                <w:sz w:val="18"/>
                <w:szCs w:val="18"/>
              </w:rPr>
              <w:t>, prix TTF</w:t>
            </w:r>
          </w:p>
        </w:tc>
        <w:tc>
          <w:tcPr>
            <w:tcW w:w="2400" w:type="dxa"/>
            <w:tcMar>
              <w:top w:w="80" w:type="dxa"/>
              <w:left w:w="100" w:type="dxa"/>
              <w:bottom w:w="80" w:type="dxa"/>
              <w:right w:w="100" w:type="dxa"/>
            </w:tcMar>
          </w:tcPr>
          <w:p w14:paraId="0CBC8ABA" w14:textId="77777777" w:rsidR="008E7E6D" w:rsidRDefault="00000000">
            <w:proofErr w:type="spellStart"/>
            <w:r>
              <w:rPr>
                <w:rFonts w:ascii="Calibri" w:eastAsia="Calibri" w:hAnsi="Calibri" w:cs="Calibri"/>
                <w:color w:val="222222"/>
                <w:sz w:val="18"/>
                <w:szCs w:val="18"/>
              </w:rPr>
              <w:t>Ressource</w:t>
            </w:r>
            <w:proofErr w:type="spellEnd"/>
            <w:r>
              <w:rPr>
                <w:rFonts w:ascii="Calibri" w:eastAsia="Calibri" w:hAnsi="Calibri" w:cs="Calibri"/>
                <w:color w:val="222222"/>
                <w:sz w:val="18"/>
                <w:szCs w:val="18"/>
              </w:rPr>
              <w:t xml:space="preserve"> sous le </w:t>
            </w:r>
            <w:proofErr w:type="spellStart"/>
            <w:r>
              <w:rPr>
                <w:rFonts w:ascii="Calibri" w:eastAsia="Calibri" w:hAnsi="Calibri" w:cs="Calibri"/>
                <w:color w:val="222222"/>
                <w:sz w:val="18"/>
                <w:szCs w:val="18"/>
              </w:rPr>
              <w:t>bâtiment</w:t>
            </w:r>
            <w:proofErr w:type="spellEnd"/>
          </w:p>
        </w:tc>
        <w:tc>
          <w:tcPr>
            <w:tcW w:w="2400" w:type="dxa"/>
            <w:tcMar>
              <w:top w:w="80" w:type="dxa"/>
              <w:left w:w="100" w:type="dxa"/>
              <w:bottom w:w="80" w:type="dxa"/>
              <w:right w:w="100" w:type="dxa"/>
            </w:tcMar>
          </w:tcPr>
          <w:p w14:paraId="3822BBB7" w14:textId="77777777" w:rsidR="008E7E6D" w:rsidRDefault="00000000">
            <w:r>
              <w:rPr>
                <w:rFonts w:ascii="Calibri" w:eastAsia="Calibri" w:hAnsi="Calibri" w:cs="Calibri"/>
                <w:color w:val="222222"/>
                <w:sz w:val="18"/>
                <w:szCs w:val="18"/>
              </w:rPr>
              <w:t xml:space="preserve">Facture interne au </w:t>
            </w:r>
            <w:proofErr w:type="spellStart"/>
            <w:r>
              <w:rPr>
                <w:rFonts w:ascii="Calibri" w:eastAsia="Calibri" w:hAnsi="Calibri" w:cs="Calibri"/>
                <w:color w:val="222222"/>
                <w:sz w:val="18"/>
                <w:szCs w:val="18"/>
              </w:rPr>
              <w:t>territoire</w:t>
            </w:r>
            <w:proofErr w:type="spellEnd"/>
          </w:p>
        </w:tc>
      </w:tr>
      <w:tr w:rsidR="008E7E6D" w14:paraId="43C3442A" w14:textId="77777777">
        <w:tblPrEx>
          <w:tblCellMar>
            <w:top w:w="0" w:type="dxa"/>
            <w:bottom w:w="0" w:type="dxa"/>
          </w:tblCellMar>
        </w:tblPrEx>
        <w:tc>
          <w:tcPr>
            <w:tcW w:w="2400" w:type="dxa"/>
            <w:shd w:val="clear" w:color="auto" w:fill="F4F4F2"/>
            <w:tcMar>
              <w:top w:w="80" w:type="dxa"/>
              <w:left w:w="100" w:type="dxa"/>
              <w:bottom w:w="80" w:type="dxa"/>
              <w:right w:w="100" w:type="dxa"/>
            </w:tcMar>
          </w:tcPr>
          <w:p w14:paraId="2F2D5F91" w14:textId="77777777" w:rsidR="008E7E6D" w:rsidRDefault="00000000">
            <w:r>
              <w:rPr>
                <w:rFonts w:ascii="Calibri" w:eastAsia="Calibri" w:hAnsi="Calibri" w:cs="Calibri"/>
                <w:color w:val="222222"/>
                <w:sz w:val="18"/>
                <w:szCs w:val="18"/>
              </w:rPr>
              <w:t xml:space="preserve">Froid </w:t>
            </w:r>
            <w:proofErr w:type="spellStart"/>
            <w:r>
              <w:rPr>
                <w:rFonts w:ascii="Calibri" w:eastAsia="Calibri" w:hAnsi="Calibri" w:cs="Calibri"/>
                <w:color w:val="222222"/>
                <w:sz w:val="18"/>
                <w:szCs w:val="18"/>
              </w:rPr>
              <w:t>d'été</w:t>
            </w:r>
            <w:proofErr w:type="spellEnd"/>
          </w:p>
        </w:tc>
        <w:tc>
          <w:tcPr>
            <w:tcW w:w="2400" w:type="dxa"/>
            <w:shd w:val="clear" w:color="auto" w:fill="F4F4F2"/>
            <w:tcMar>
              <w:top w:w="80" w:type="dxa"/>
              <w:left w:w="100" w:type="dxa"/>
              <w:bottom w:w="80" w:type="dxa"/>
              <w:right w:w="100" w:type="dxa"/>
            </w:tcMar>
          </w:tcPr>
          <w:p w14:paraId="7AB806E1" w14:textId="77777777" w:rsidR="008E7E6D" w:rsidRPr="008308F6" w:rsidRDefault="00000000">
            <w:pPr>
              <w:rPr>
                <w:lang w:val="fr-FR"/>
              </w:rPr>
            </w:pPr>
            <w:r w:rsidRPr="008308F6">
              <w:rPr>
                <w:rFonts w:ascii="Calibri" w:eastAsia="Calibri" w:hAnsi="Calibri" w:cs="Calibri"/>
                <w:color w:val="222222"/>
                <w:sz w:val="18"/>
                <w:szCs w:val="18"/>
                <w:lang w:val="fr-FR"/>
              </w:rPr>
              <w:t>Clim air/air (rejet urbain)</w:t>
            </w:r>
          </w:p>
        </w:tc>
        <w:tc>
          <w:tcPr>
            <w:tcW w:w="2400" w:type="dxa"/>
            <w:shd w:val="clear" w:color="auto" w:fill="F4F4F2"/>
            <w:tcMar>
              <w:top w:w="80" w:type="dxa"/>
              <w:left w:w="100" w:type="dxa"/>
              <w:bottom w:w="80" w:type="dxa"/>
              <w:right w:w="100" w:type="dxa"/>
            </w:tcMar>
          </w:tcPr>
          <w:p w14:paraId="00ECD157" w14:textId="77777777" w:rsidR="008E7E6D" w:rsidRDefault="00000000">
            <w:proofErr w:type="spellStart"/>
            <w:r>
              <w:rPr>
                <w:rFonts w:ascii="Calibri" w:eastAsia="Calibri" w:hAnsi="Calibri" w:cs="Calibri"/>
                <w:color w:val="222222"/>
                <w:sz w:val="18"/>
                <w:szCs w:val="18"/>
              </w:rPr>
              <w:t>Géo</w:t>
            </w:r>
            <w:proofErr w:type="spellEnd"/>
            <w:r>
              <w:rPr>
                <w:rFonts w:ascii="Calibri" w:eastAsia="Calibri" w:hAnsi="Calibri" w:cs="Calibri"/>
                <w:color w:val="222222"/>
                <w:sz w:val="18"/>
                <w:szCs w:val="18"/>
              </w:rPr>
              <w:t xml:space="preserve">-cooling / PAC </w:t>
            </w:r>
            <w:proofErr w:type="spellStart"/>
            <w:r>
              <w:rPr>
                <w:rFonts w:ascii="Calibri" w:eastAsia="Calibri" w:hAnsi="Calibri" w:cs="Calibri"/>
                <w:color w:val="222222"/>
                <w:sz w:val="18"/>
                <w:szCs w:val="18"/>
              </w:rPr>
              <w:t>réversible</w:t>
            </w:r>
            <w:proofErr w:type="spellEnd"/>
          </w:p>
        </w:tc>
        <w:tc>
          <w:tcPr>
            <w:tcW w:w="2400" w:type="dxa"/>
            <w:shd w:val="clear" w:color="auto" w:fill="F4F4F2"/>
            <w:tcMar>
              <w:top w:w="80" w:type="dxa"/>
              <w:left w:w="100" w:type="dxa"/>
              <w:bottom w:w="80" w:type="dxa"/>
              <w:right w:w="100" w:type="dxa"/>
            </w:tcMar>
          </w:tcPr>
          <w:p w14:paraId="1827A3CA" w14:textId="77777777" w:rsidR="008E7E6D" w:rsidRDefault="00000000">
            <w:r>
              <w:rPr>
                <w:rFonts w:ascii="Calibri" w:eastAsia="Calibri" w:hAnsi="Calibri" w:cs="Calibri"/>
                <w:color w:val="222222"/>
                <w:sz w:val="18"/>
                <w:szCs w:val="18"/>
              </w:rPr>
              <w:t>Canicules 2026 = argument économique</w:t>
            </w:r>
          </w:p>
        </w:tc>
      </w:tr>
      <w:tr w:rsidR="008E7E6D" w:rsidRPr="008308F6" w14:paraId="3314F291" w14:textId="77777777">
        <w:tblPrEx>
          <w:tblCellMar>
            <w:top w:w="0" w:type="dxa"/>
            <w:bottom w:w="0" w:type="dxa"/>
          </w:tblCellMar>
        </w:tblPrEx>
        <w:tc>
          <w:tcPr>
            <w:tcW w:w="2400" w:type="dxa"/>
            <w:tcMar>
              <w:top w:w="80" w:type="dxa"/>
              <w:left w:w="100" w:type="dxa"/>
              <w:bottom w:w="80" w:type="dxa"/>
              <w:right w:w="100" w:type="dxa"/>
            </w:tcMar>
          </w:tcPr>
          <w:p w14:paraId="351AE50D" w14:textId="77777777" w:rsidR="008E7E6D" w:rsidRDefault="00000000">
            <w:r>
              <w:rPr>
                <w:rFonts w:ascii="Calibri" w:eastAsia="Calibri" w:hAnsi="Calibri" w:cs="Calibri"/>
                <w:color w:val="222222"/>
                <w:sz w:val="18"/>
                <w:szCs w:val="18"/>
              </w:rPr>
              <w:t>Horizon de retour</w:t>
            </w:r>
          </w:p>
        </w:tc>
        <w:tc>
          <w:tcPr>
            <w:tcW w:w="2400" w:type="dxa"/>
            <w:tcMar>
              <w:top w:w="80" w:type="dxa"/>
              <w:left w:w="100" w:type="dxa"/>
              <w:bottom w:w="80" w:type="dxa"/>
              <w:right w:w="100" w:type="dxa"/>
            </w:tcMar>
          </w:tcPr>
          <w:p w14:paraId="63D1E129" w14:textId="77777777" w:rsidR="008E7E6D" w:rsidRDefault="00000000">
            <w:proofErr w:type="spellStart"/>
            <w:r>
              <w:rPr>
                <w:rFonts w:ascii="Calibri" w:eastAsia="Calibri" w:hAnsi="Calibri" w:cs="Calibri"/>
                <w:color w:val="222222"/>
                <w:sz w:val="18"/>
                <w:szCs w:val="18"/>
              </w:rPr>
              <w:t>Opex</w:t>
            </w:r>
            <w:proofErr w:type="spellEnd"/>
            <w:r>
              <w:rPr>
                <w:rFonts w:ascii="Calibri" w:eastAsia="Calibri" w:hAnsi="Calibri" w:cs="Calibri"/>
                <w:color w:val="222222"/>
                <w:sz w:val="18"/>
                <w:szCs w:val="18"/>
              </w:rPr>
              <w:t xml:space="preserve"> </w:t>
            </w:r>
            <w:proofErr w:type="spellStart"/>
            <w:r>
              <w:rPr>
                <w:rFonts w:ascii="Calibri" w:eastAsia="Calibri" w:hAnsi="Calibri" w:cs="Calibri"/>
                <w:color w:val="222222"/>
                <w:sz w:val="18"/>
                <w:szCs w:val="18"/>
              </w:rPr>
              <w:t>perpétuel</w:t>
            </w:r>
            <w:proofErr w:type="spellEnd"/>
          </w:p>
        </w:tc>
        <w:tc>
          <w:tcPr>
            <w:tcW w:w="2400" w:type="dxa"/>
            <w:tcMar>
              <w:top w:w="80" w:type="dxa"/>
              <w:left w:w="100" w:type="dxa"/>
              <w:bottom w:w="80" w:type="dxa"/>
              <w:right w:w="100" w:type="dxa"/>
            </w:tcMar>
          </w:tcPr>
          <w:p w14:paraId="05B7E001" w14:textId="77777777" w:rsidR="008E7E6D" w:rsidRDefault="00000000">
            <w:r>
              <w:rPr>
                <w:rFonts w:ascii="Calibri" w:eastAsia="Calibri" w:hAnsi="Calibri" w:cs="Calibri"/>
                <w:color w:val="222222"/>
                <w:sz w:val="18"/>
                <w:szCs w:val="18"/>
              </w:rPr>
              <w:t xml:space="preserve">10–20 </w:t>
            </w:r>
            <w:proofErr w:type="spellStart"/>
            <w:r>
              <w:rPr>
                <w:rFonts w:ascii="Calibri" w:eastAsia="Calibri" w:hAnsi="Calibri" w:cs="Calibri"/>
                <w:color w:val="222222"/>
                <w:sz w:val="18"/>
                <w:szCs w:val="18"/>
              </w:rPr>
              <w:t>ans</w:t>
            </w:r>
            <w:proofErr w:type="spellEnd"/>
            <w:r>
              <w:rPr>
                <w:rFonts w:ascii="Calibri" w:eastAsia="Calibri" w:hAnsi="Calibri" w:cs="Calibri"/>
                <w:color w:val="222222"/>
                <w:sz w:val="18"/>
                <w:szCs w:val="18"/>
              </w:rPr>
              <w:t xml:space="preserve"> </w:t>
            </w:r>
            <w:proofErr w:type="spellStart"/>
            <w:r>
              <w:rPr>
                <w:rFonts w:ascii="Calibri" w:eastAsia="Calibri" w:hAnsi="Calibri" w:cs="Calibri"/>
                <w:color w:val="222222"/>
                <w:sz w:val="18"/>
                <w:szCs w:val="18"/>
              </w:rPr>
              <w:t>en</w:t>
            </w:r>
            <w:proofErr w:type="spellEnd"/>
            <w:r>
              <w:rPr>
                <w:rFonts w:ascii="Calibri" w:eastAsia="Calibri" w:hAnsi="Calibri" w:cs="Calibri"/>
                <w:color w:val="222222"/>
                <w:sz w:val="18"/>
                <w:szCs w:val="18"/>
              </w:rPr>
              <w:t xml:space="preserve"> </w:t>
            </w:r>
            <w:proofErr w:type="spellStart"/>
            <w:r>
              <w:rPr>
                <w:rFonts w:ascii="Calibri" w:eastAsia="Calibri" w:hAnsi="Calibri" w:cs="Calibri"/>
                <w:color w:val="222222"/>
                <w:sz w:val="18"/>
                <w:szCs w:val="18"/>
              </w:rPr>
              <w:t>moyenne</w:t>
            </w:r>
            <w:proofErr w:type="spellEnd"/>
          </w:p>
        </w:tc>
        <w:tc>
          <w:tcPr>
            <w:tcW w:w="2400" w:type="dxa"/>
            <w:tcMar>
              <w:top w:w="80" w:type="dxa"/>
              <w:left w:w="100" w:type="dxa"/>
              <w:bottom w:w="80" w:type="dxa"/>
              <w:right w:w="100" w:type="dxa"/>
            </w:tcMar>
          </w:tcPr>
          <w:p w14:paraId="7A192E5F" w14:textId="77777777" w:rsidR="008E7E6D" w:rsidRPr="008308F6" w:rsidRDefault="00000000">
            <w:pPr>
              <w:rPr>
                <w:lang w:val="fr-FR"/>
              </w:rPr>
            </w:pPr>
            <w:r w:rsidRPr="008308F6">
              <w:rPr>
                <w:rFonts w:ascii="Calibri" w:eastAsia="Calibri" w:hAnsi="Calibri" w:cs="Calibri"/>
                <w:color w:val="222222"/>
                <w:sz w:val="18"/>
                <w:szCs w:val="18"/>
                <w:lang w:val="fr-FR"/>
              </w:rPr>
              <w:t>Compatible mandat / bail / dette verte</w:t>
            </w:r>
          </w:p>
        </w:tc>
      </w:tr>
    </w:tbl>
    <w:p w14:paraId="45AA687C" w14:textId="77777777" w:rsidR="008E7E6D" w:rsidRPr="008308F6" w:rsidRDefault="00000000">
      <w:pPr>
        <w:spacing w:after="160" w:line="276" w:lineRule="auto"/>
        <w:jc w:val="both"/>
        <w:rPr>
          <w:lang w:val="fr-FR"/>
        </w:rPr>
      </w:pPr>
      <w:r w:rsidRPr="008308F6">
        <w:rPr>
          <w:rFonts w:ascii="Calibri" w:eastAsia="Calibri" w:hAnsi="Calibri" w:cs="Calibri"/>
          <w:color w:val="222222"/>
          <w:sz w:val="21"/>
          <w:szCs w:val="21"/>
          <w:lang w:val="fr-FR"/>
        </w:rPr>
        <w:t xml:space="preserve">Ordres de grandeur documentés : maison individuelle, forage 50–160 €/ml, installation médiane ~22,5 k€ avant aides ; collectifs et tertiaires : 1 000–1 500 €/kW sondes verticales. Réseaux profonds : temps de retour souvent </w:t>
      </w:r>
      <w:r w:rsidRPr="008308F6">
        <w:rPr>
          <w:rFonts w:ascii="Calibri" w:eastAsia="Calibri" w:hAnsi="Calibri" w:cs="Calibri"/>
          <w:color w:val="222222"/>
          <w:sz w:val="21"/>
          <w:szCs w:val="21"/>
          <w:lang w:val="fr-FR"/>
        </w:rPr>
        <w:lastRenderedPageBreak/>
        <w:t>7–13 ans quand le gisement est au rendez-vous. Étude AFPG climatisation : VAN positive ~875 M€ sur 50 ans pour un scénario Paris. Pays-Bas : ATES ~118 €/MWh vs gaz 162 €/MWh dans une fenêtre de prix haute — la France surface a longtemps affiché ~143 €/MWh sans subvention, d'où le rôle du Fonds chaleur.</w:t>
      </w:r>
    </w:p>
    <w:p w14:paraId="357745A6" w14:textId="77777777" w:rsidR="008E7E6D" w:rsidRPr="008308F6" w:rsidRDefault="00000000">
      <w:pPr>
        <w:spacing w:before="260" w:after="120"/>
        <w:rPr>
          <w:lang w:val="fr-FR"/>
        </w:rPr>
      </w:pPr>
      <w:proofErr w:type="gramStart"/>
      <w:r w:rsidRPr="008308F6">
        <w:rPr>
          <w:rFonts w:ascii="Calibri" w:eastAsia="Calibri" w:hAnsi="Calibri" w:cs="Calibri"/>
          <w:b/>
          <w:bCs/>
          <w:color w:val="1F6F5C"/>
          <w:sz w:val="24"/>
          <w:szCs w:val="24"/>
          <w:lang w:val="fr-FR"/>
        </w:rPr>
        <w:t>3.4  Objectifs</w:t>
      </w:r>
      <w:proofErr w:type="gramEnd"/>
      <w:r w:rsidRPr="008308F6">
        <w:rPr>
          <w:rFonts w:ascii="Calibri" w:eastAsia="Calibri" w:hAnsi="Calibri" w:cs="Calibri"/>
          <w:b/>
          <w:bCs/>
          <w:color w:val="1F6F5C"/>
          <w:sz w:val="24"/>
          <w:szCs w:val="24"/>
          <w:lang w:val="fr-FR"/>
        </w:rPr>
        <w:t xml:space="preserve"> publics vs réalité de cadence</w:t>
      </w:r>
    </w:p>
    <w:p w14:paraId="3BB7BAA9" w14:textId="77777777" w:rsidR="008E7E6D" w:rsidRPr="008308F6" w:rsidRDefault="00000000">
      <w:pPr>
        <w:spacing w:after="160" w:line="276" w:lineRule="auto"/>
        <w:jc w:val="both"/>
        <w:rPr>
          <w:lang w:val="fr-FR"/>
        </w:rPr>
      </w:pPr>
      <w:r w:rsidRPr="008308F6">
        <w:rPr>
          <w:rFonts w:ascii="Calibri" w:eastAsia="Calibri" w:hAnsi="Calibri" w:cs="Calibri"/>
          <w:color w:val="222222"/>
          <w:sz w:val="21"/>
          <w:szCs w:val="21"/>
          <w:lang w:val="fr-FR"/>
        </w:rPr>
        <w:t>PPE3 : 10 TWh de chaleur de surface et 6 TWh de chaleur profonde en 2030 (contre 4,8 et 2,2 TWh en 2025). Plan d'action national : viser 6 000 PAC individuelles et 1 000 opérations collectif-tertiaire par an en surface ; +40 % d'opérations profondes pour atteindre au moins 110 en fonctionnement via les projets lancés avant 2030. Production 2023 : ~4,7 TWh surface + 2,3 TWh profonde, soit ~1 % de la chaleur finale française. L'écart PPE n'est pas un problème de ressource. C'est un problème de cadence de puits, de dossiers et d'équipes.</w:t>
      </w:r>
    </w:p>
    <w:p w14:paraId="1280B891" w14:textId="77777777" w:rsidR="008E7E6D" w:rsidRPr="008308F6" w:rsidRDefault="00000000">
      <w:pPr>
        <w:spacing w:after="160" w:line="276" w:lineRule="auto"/>
        <w:jc w:val="both"/>
        <w:rPr>
          <w:lang w:val="fr-FR"/>
        </w:rPr>
      </w:pPr>
      <w:r w:rsidRPr="008308F6">
        <w:rPr>
          <w:rFonts w:ascii="Calibri" w:eastAsia="Calibri" w:hAnsi="Calibri" w:cs="Calibri"/>
          <w:color w:val="222222"/>
          <w:sz w:val="21"/>
          <w:szCs w:val="21"/>
          <w:lang w:val="fr-FR"/>
        </w:rPr>
        <w:t>Ce triple goulot n'a pas le même poids. Le retour d'expérience de terrain rassemblé en §6 fait apparaître le dossier — et non le puits ni l'équipe — comme le facteur aujourd'hui dominant : une revue de dossier conduite avec une compétence de terrain réelle se règle en heures, quand l'instruction administrative correspondante s'étale en mois.</w:t>
      </w:r>
    </w:p>
    <w:p w14:paraId="6F355DFA" w14:textId="7FE9EBEC" w:rsidR="008E7E6D" w:rsidRPr="008308F6" w:rsidRDefault="00000000">
      <w:pPr>
        <w:pStyle w:val="Heading1"/>
        <w:pBdr>
          <w:bottom w:val="single" w:sz="6" w:space="4" w:color="1B3A54"/>
        </w:pBdr>
        <w:spacing w:before="420" w:after="200"/>
        <w:rPr>
          <w:lang w:val="fr-FR"/>
        </w:rPr>
      </w:pPr>
      <w:bookmarkStart w:id="3" w:name="_Toc240015681"/>
      <w:r w:rsidRPr="008308F6">
        <w:rPr>
          <w:rFonts w:ascii="Calibri" w:eastAsia="Calibri" w:hAnsi="Calibri" w:cs="Calibri"/>
          <w:b/>
          <w:bCs/>
          <w:color w:val="1B3A54"/>
          <w:sz w:val="30"/>
          <w:szCs w:val="30"/>
          <w:lang w:val="fr-FR"/>
        </w:rPr>
        <w:t xml:space="preserve">4.  </w:t>
      </w:r>
      <w:proofErr w:type="spellStart"/>
      <w:r w:rsidR="008308F6">
        <w:rPr>
          <w:rFonts w:ascii="Calibri" w:eastAsia="Calibri" w:hAnsi="Calibri" w:cs="Calibri"/>
          <w:b/>
          <w:bCs/>
          <w:color w:val="1B3A54"/>
          <w:sz w:val="30"/>
          <w:szCs w:val="30"/>
          <w:lang w:val="fr-FR"/>
        </w:rPr>
        <w:t>Recapitualtif</w:t>
      </w:r>
      <w:proofErr w:type="spellEnd"/>
      <w:r w:rsidR="008308F6">
        <w:rPr>
          <w:rFonts w:ascii="Calibri" w:eastAsia="Calibri" w:hAnsi="Calibri" w:cs="Calibri"/>
          <w:b/>
          <w:bCs/>
          <w:color w:val="1B3A54"/>
          <w:sz w:val="30"/>
          <w:szCs w:val="30"/>
          <w:lang w:val="fr-FR"/>
        </w:rPr>
        <w:t xml:space="preserve"> de</w:t>
      </w:r>
      <w:r w:rsidRPr="008308F6">
        <w:rPr>
          <w:rFonts w:ascii="Calibri" w:eastAsia="Calibri" w:hAnsi="Calibri" w:cs="Calibri"/>
          <w:b/>
          <w:bCs/>
          <w:color w:val="1B3A54"/>
          <w:sz w:val="30"/>
          <w:szCs w:val="30"/>
          <w:lang w:val="fr-FR"/>
        </w:rPr>
        <w:t xml:space="preserve"> </w:t>
      </w:r>
      <w:proofErr w:type="spellStart"/>
      <w:r w:rsidRPr="008308F6">
        <w:rPr>
          <w:rFonts w:ascii="Calibri" w:eastAsia="Calibri" w:hAnsi="Calibri" w:cs="Calibri"/>
          <w:b/>
          <w:bCs/>
          <w:color w:val="1B3A54"/>
          <w:sz w:val="30"/>
          <w:szCs w:val="30"/>
          <w:lang w:val="fr-FR"/>
        </w:rPr>
        <w:t>géoénergie</w:t>
      </w:r>
      <w:bookmarkEnd w:id="3"/>
      <w:proofErr w:type="spellEnd"/>
    </w:p>
    <w:p w14:paraId="6D632EB6" w14:textId="635D55E3" w:rsidR="008E7E6D" w:rsidRPr="008308F6" w:rsidRDefault="00000000">
      <w:pPr>
        <w:spacing w:after="160" w:line="276" w:lineRule="auto"/>
        <w:jc w:val="both"/>
        <w:rPr>
          <w:lang w:val="fr-FR"/>
        </w:rPr>
      </w:pPr>
      <w:r w:rsidRPr="008308F6">
        <w:rPr>
          <w:rFonts w:ascii="Calibri" w:eastAsia="Calibri" w:hAnsi="Calibri" w:cs="Calibri"/>
          <w:color w:val="222222"/>
          <w:sz w:val="21"/>
          <w:szCs w:val="21"/>
          <w:lang w:val="fr-FR"/>
        </w:rPr>
        <w:t>On rassemble ici les « chats techniques » utiles au décideur</w:t>
      </w:r>
      <w:r w:rsidR="008308F6">
        <w:rPr>
          <w:rFonts w:ascii="Calibri" w:eastAsia="Calibri" w:hAnsi="Calibri" w:cs="Calibri"/>
          <w:color w:val="222222"/>
          <w:sz w:val="21"/>
          <w:szCs w:val="21"/>
          <w:lang w:val="fr-FR"/>
        </w:rPr>
        <w:t xml:space="preserve"> de </w:t>
      </w:r>
      <w:proofErr w:type="spellStart"/>
      <w:proofErr w:type="gramStart"/>
      <w:r w:rsidR="008308F6">
        <w:rPr>
          <w:rFonts w:ascii="Calibri" w:eastAsia="Calibri" w:hAnsi="Calibri" w:cs="Calibri"/>
          <w:color w:val="222222"/>
          <w:sz w:val="21"/>
          <w:szCs w:val="21"/>
          <w:lang w:val="fr-FR"/>
        </w:rPr>
        <w:t>géoénergie</w:t>
      </w:r>
      <w:proofErr w:type="spellEnd"/>
      <w:r w:rsidRPr="008308F6">
        <w:rPr>
          <w:rFonts w:ascii="Calibri" w:eastAsia="Calibri" w:hAnsi="Calibri" w:cs="Calibri"/>
          <w:color w:val="222222"/>
          <w:sz w:val="21"/>
          <w:szCs w:val="21"/>
          <w:lang w:val="fr-FR"/>
        </w:rPr>
        <w:t>:</w:t>
      </w:r>
      <w:proofErr w:type="gramEnd"/>
      <w:r w:rsidRPr="008308F6">
        <w:rPr>
          <w:rFonts w:ascii="Calibri" w:eastAsia="Calibri" w:hAnsi="Calibri" w:cs="Calibri"/>
          <w:color w:val="222222"/>
          <w:sz w:val="21"/>
          <w:szCs w:val="21"/>
          <w:lang w:val="fr-FR"/>
        </w:rPr>
        <w:t xml:space="preserve"> unités, cadences, coûts au mètre, cimentation, emprise.</w:t>
      </w:r>
    </w:p>
    <w:p w14:paraId="1103F5BB" w14:textId="77777777" w:rsidR="008E7E6D" w:rsidRDefault="00000000">
      <w:pPr>
        <w:spacing w:before="260" w:after="120"/>
      </w:pPr>
      <w:proofErr w:type="gramStart"/>
      <w:r>
        <w:rPr>
          <w:rFonts w:ascii="Calibri" w:eastAsia="Calibri" w:hAnsi="Calibri" w:cs="Calibri"/>
          <w:b/>
          <w:bCs/>
          <w:color w:val="1F6F5C"/>
          <w:sz w:val="24"/>
          <w:szCs w:val="24"/>
        </w:rPr>
        <w:t>4.1  Données</w:t>
      </w:r>
      <w:proofErr w:type="gramEnd"/>
      <w:r>
        <w:rPr>
          <w:rFonts w:ascii="Calibri" w:eastAsia="Calibri" w:hAnsi="Calibri" w:cs="Calibri"/>
          <w:b/>
          <w:bCs/>
          <w:color w:val="1F6F5C"/>
          <w:sz w:val="24"/>
          <w:szCs w:val="24"/>
        </w:rPr>
        <w:t xml:space="preserve"> de base — surface</w:t>
      </w:r>
    </w:p>
    <w:tbl>
      <w:tblPr>
        <w:tblW w:w="10000" w:type="dxa"/>
        <w:tblBorders>
          <w:top w:val="single" w:sz="2" w:space="0" w:color="CCCCCC"/>
          <w:left w:val="single" w:sz="2" w:space="0" w:color="CCCCCC"/>
          <w:bottom w:val="single" w:sz="2" w:space="0" w:color="CCCCCC"/>
          <w:right w:val="single" w:sz="2" w:space="0" w:color="CCCCCC"/>
          <w:insideH w:val="single" w:sz="2" w:space="0" w:color="DDDDDD"/>
          <w:insideV w:val="single" w:sz="2" w:space="0" w:color="DDDDDD"/>
        </w:tblBorders>
        <w:tblCellMar>
          <w:left w:w="10" w:type="dxa"/>
          <w:right w:w="10" w:type="dxa"/>
        </w:tblCellMar>
        <w:tblLook w:val="04A0" w:firstRow="1" w:lastRow="0" w:firstColumn="1" w:lastColumn="0" w:noHBand="0" w:noVBand="1"/>
      </w:tblPr>
      <w:tblGrid>
        <w:gridCol w:w="3400"/>
        <w:gridCol w:w="2200"/>
        <w:gridCol w:w="4400"/>
      </w:tblGrid>
      <w:tr w:rsidR="008E7E6D" w14:paraId="3E5C9360" w14:textId="77777777">
        <w:tblPrEx>
          <w:tblCellMar>
            <w:top w:w="0" w:type="dxa"/>
            <w:bottom w:w="0" w:type="dxa"/>
          </w:tblCellMar>
        </w:tblPrEx>
        <w:trPr>
          <w:tblHeader/>
        </w:trPr>
        <w:tc>
          <w:tcPr>
            <w:tcW w:w="3400" w:type="dxa"/>
            <w:shd w:val="clear" w:color="auto" w:fill="1B3A54"/>
            <w:tcMar>
              <w:top w:w="80" w:type="dxa"/>
              <w:left w:w="100" w:type="dxa"/>
              <w:bottom w:w="80" w:type="dxa"/>
              <w:right w:w="100" w:type="dxa"/>
            </w:tcMar>
            <w:vAlign w:val="center"/>
          </w:tcPr>
          <w:p w14:paraId="5FF6B2EA" w14:textId="77777777" w:rsidR="008E7E6D" w:rsidRDefault="00000000">
            <w:pPr>
              <w:jc w:val="center"/>
            </w:pPr>
            <w:proofErr w:type="spellStart"/>
            <w:r>
              <w:rPr>
                <w:rFonts w:ascii="Calibri" w:eastAsia="Calibri" w:hAnsi="Calibri" w:cs="Calibri"/>
                <w:b/>
                <w:bCs/>
                <w:color w:val="FFFFFF"/>
                <w:sz w:val="18"/>
                <w:szCs w:val="18"/>
              </w:rPr>
              <w:t>Paramètre</w:t>
            </w:r>
            <w:proofErr w:type="spellEnd"/>
          </w:p>
        </w:tc>
        <w:tc>
          <w:tcPr>
            <w:tcW w:w="2200" w:type="dxa"/>
            <w:shd w:val="clear" w:color="auto" w:fill="1B3A54"/>
            <w:tcMar>
              <w:top w:w="80" w:type="dxa"/>
              <w:left w:w="100" w:type="dxa"/>
              <w:bottom w:w="80" w:type="dxa"/>
              <w:right w:w="100" w:type="dxa"/>
            </w:tcMar>
            <w:vAlign w:val="center"/>
          </w:tcPr>
          <w:p w14:paraId="163AACC0" w14:textId="77777777" w:rsidR="008E7E6D" w:rsidRDefault="00000000">
            <w:pPr>
              <w:jc w:val="center"/>
            </w:pPr>
            <w:proofErr w:type="spellStart"/>
            <w:r>
              <w:rPr>
                <w:rFonts w:ascii="Calibri" w:eastAsia="Calibri" w:hAnsi="Calibri" w:cs="Calibri"/>
                <w:b/>
                <w:bCs/>
                <w:color w:val="FFFFFF"/>
                <w:sz w:val="18"/>
                <w:szCs w:val="18"/>
              </w:rPr>
              <w:t>Symbole</w:t>
            </w:r>
            <w:proofErr w:type="spellEnd"/>
            <w:r>
              <w:rPr>
                <w:rFonts w:ascii="Calibri" w:eastAsia="Calibri" w:hAnsi="Calibri" w:cs="Calibri"/>
                <w:b/>
                <w:bCs/>
                <w:color w:val="FFFFFF"/>
                <w:sz w:val="18"/>
                <w:szCs w:val="18"/>
              </w:rPr>
              <w:t xml:space="preserve"> / </w:t>
            </w:r>
            <w:proofErr w:type="spellStart"/>
            <w:r>
              <w:rPr>
                <w:rFonts w:ascii="Calibri" w:eastAsia="Calibri" w:hAnsi="Calibri" w:cs="Calibri"/>
                <w:b/>
                <w:bCs/>
                <w:color w:val="FFFFFF"/>
                <w:sz w:val="18"/>
                <w:szCs w:val="18"/>
              </w:rPr>
              <w:t>unité</w:t>
            </w:r>
            <w:proofErr w:type="spellEnd"/>
          </w:p>
        </w:tc>
        <w:tc>
          <w:tcPr>
            <w:tcW w:w="4400" w:type="dxa"/>
            <w:shd w:val="clear" w:color="auto" w:fill="1B3A54"/>
            <w:tcMar>
              <w:top w:w="80" w:type="dxa"/>
              <w:left w:w="100" w:type="dxa"/>
              <w:bottom w:w="80" w:type="dxa"/>
              <w:right w:w="100" w:type="dxa"/>
            </w:tcMar>
            <w:vAlign w:val="center"/>
          </w:tcPr>
          <w:p w14:paraId="6402113F" w14:textId="77777777" w:rsidR="008E7E6D" w:rsidRDefault="00000000">
            <w:pPr>
              <w:jc w:val="center"/>
            </w:pPr>
            <w:r>
              <w:rPr>
                <w:rFonts w:ascii="Calibri" w:eastAsia="Calibri" w:hAnsi="Calibri" w:cs="Calibri"/>
                <w:b/>
                <w:bCs/>
                <w:color w:val="FFFFFF"/>
                <w:sz w:val="18"/>
                <w:szCs w:val="18"/>
              </w:rPr>
              <w:t>Ordre de grandeur</w:t>
            </w:r>
          </w:p>
        </w:tc>
      </w:tr>
      <w:tr w:rsidR="008E7E6D" w14:paraId="10145E2D" w14:textId="77777777">
        <w:tblPrEx>
          <w:tblCellMar>
            <w:top w:w="0" w:type="dxa"/>
            <w:bottom w:w="0" w:type="dxa"/>
          </w:tblCellMar>
        </w:tblPrEx>
        <w:tc>
          <w:tcPr>
            <w:tcW w:w="3400" w:type="dxa"/>
            <w:tcMar>
              <w:top w:w="80" w:type="dxa"/>
              <w:left w:w="100" w:type="dxa"/>
              <w:bottom w:w="80" w:type="dxa"/>
              <w:right w:w="100" w:type="dxa"/>
            </w:tcMar>
          </w:tcPr>
          <w:p w14:paraId="008E9C86" w14:textId="77777777" w:rsidR="008E7E6D" w:rsidRDefault="00000000">
            <w:r>
              <w:rPr>
                <w:rFonts w:ascii="Calibri" w:eastAsia="Calibri" w:hAnsi="Calibri" w:cs="Calibri"/>
                <w:color w:val="222222"/>
                <w:sz w:val="18"/>
                <w:szCs w:val="18"/>
              </w:rPr>
              <w:t xml:space="preserve">Gradient </w:t>
            </w:r>
            <w:proofErr w:type="spellStart"/>
            <w:r>
              <w:rPr>
                <w:rFonts w:ascii="Calibri" w:eastAsia="Calibri" w:hAnsi="Calibri" w:cs="Calibri"/>
                <w:color w:val="222222"/>
                <w:sz w:val="18"/>
                <w:szCs w:val="18"/>
              </w:rPr>
              <w:t>géothermique</w:t>
            </w:r>
            <w:proofErr w:type="spellEnd"/>
            <w:r>
              <w:rPr>
                <w:rFonts w:ascii="Calibri" w:eastAsia="Calibri" w:hAnsi="Calibri" w:cs="Calibri"/>
                <w:color w:val="222222"/>
                <w:sz w:val="18"/>
                <w:szCs w:val="18"/>
              </w:rPr>
              <w:t xml:space="preserve"> moyen</w:t>
            </w:r>
          </w:p>
        </w:tc>
        <w:tc>
          <w:tcPr>
            <w:tcW w:w="2200" w:type="dxa"/>
            <w:tcMar>
              <w:top w:w="80" w:type="dxa"/>
              <w:left w:w="100" w:type="dxa"/>
              <w:bottom w:w="80" w:type="dxa"/>
              <w:right w:w="100" w:type="dxa"/>
            </w:tcMar>
          </w:tcPr>
          <w:p w14:paraId="7A178190" w14:textId="77777777" w:rsidR="008E7E6D" w:rsidRDefault="00000000">
            <w:r>
              <w:rPr>
                <w:rFonts w:ascii="Calibri" w:eastAsia="Calibri" w:hAnsi="Calibri" w:cs="Calibri"/>
                <w:color w:val="222222"/>
                <w:sz w:val="18"/>
                <w:szCs w:val="18"/>
              </w:rPr>
              <w:t>Γ (°C/100 m)</w:t>
            </w:r>
          </w:p>
        </w:tc>
        <w:tc>
          <w:tcPr>
            <w:tcW w:w="4400" w:type="dxa"/>
            <w:tcMar>
              <w:top w:w="80" w:type="dxa"/>
              <w:left w:w="100" w:type="dxa"/>
              <w:bottom w:w="80" w:type="dxa"/>
              <w:right w:w="100" w:type="dxa"/>
            </w:tcMar>
          </w:tcPr>
          <w:p w14:paraId="72D27D0D" w14:textId="77777777" w:rsidR="008E7E6D" w:rsidRDefault="00000000">
            <w:r>
              <w:rPr>
                <w:rFonts w:ascii="Calibri" w:eastAsia="Calibri" w:hAnsi="Calibri" w:cs="Calibri"/>
                <w:color w:val="222222"/>
                <w:sz w:val="18"/>
                <w:szCs w:val="18"/>
              </w:rPr>
              <w:t>≈ 3,0 (</w:t>
            </w:r>
            <w:proofErr w:type="spellStart"/>
            <w:r>
              <w:rPr>
                <w:rFonts w:ascii="Calibri" w:eastAsia="Calibri" w:hAnsi="Calibri" w:cs="Calibri"/>
                <w:color w:val="222222"/>
                <w:sz w:val="18"/>
                <w:szCs w:val="18"/>
              </w:rPr>
              <w:t>bassin</w:t>
            </w:r>
            <w:proofErr w:type="spellEnd"/>
            <w:r>
              <w:rPr>
                <w:rFonts w:ascii="Calibri" w:eastAsia="Calibri" w:hAnsi="Calibri" w:cs="Calibri"/>
                <w:color w:val="222222"/>
                <w:sz w:val="18"/>
                <w:szCs w:val="18"/>
              </w:rPr>
              <w:t xml:space="preserve"> </w:t>
            </w:r>
            <w:proofErr w:type="spellStart"/>
            <w:r>
              <w:rPr>
                <w:rFonts w:ascii="Calibri" w:eastAsia="Calibri" w:hAnsi="Calibri" w:cs="Calibri"/>
                <w:color w:val="222222"/>
                <w:sz w:val="18"/>
                <w:szCs w:val="18"/>
              </w:rPr>
              <w:t>parisien</w:t>
            </w:r>
            <w:proofErr w:type="spellEnd"/>
            <w:r>
              <w:rPr>
                <w:rFonts w:ascii="Calibri" w:eastAsia="Calibri" w:hAnsi="Calibri" w:cs="Calibri"/>
                <w:color w:val="222222"/>
                <w:sz w:val="18"/>
                <w:szCs w:val="18"/>
              </w:rPr>
              <w:t xml:space="preserve"> 3–3,5)</w:t>
            </w:r>
          </w:p>
        </w:tc>
      </w:tr>
      <w:tr w:rsidR="008E7E6D" w14:paraId="68354375" w14:textId="77777777">
        <w:tblPrEx>
          <w:tblCellMar>
            <w:top w:w="0" w:type="dxa"/>
            <w:bottom w:w="0" w:type="dxa"/>
          </w:tblCellMar>
        </w:tblPrEx>
        <w:tc>
          <w:tcPr>
            <w:tcW w:w="3400" w:type="dxa"/>
            <w:shd w:val="clear" w:color="auto" w:fill="F4F4F2"/>
            <w:tcMar>
              <w:top w:w="80" w:type="dxa"/>
              <w:left w:w="100" w:type="dxa"/>
              <w:bottom w:w="80" w:type="dxa"/>
              <w:right w:w="100" w:type="dxa"/>
            </w:tcMar>
          </w:tcPr>
          <w:p w14:paraId="786DA0F6" w14:textId="77777777" w:rsidR="008E7E6D" w:rsidRDefault="00000000">
            <w:r>
              <w:rPr>
                <w:rFonts w:ascii="Calibri" w:eastAsia="Calibri" w:hAnsi="Calibri" w:cs="Calibri"/>
                <w:color w:val="222222"/>
                <w:sz w:val="18"/>
                <w:szCs w:val="18"/>
              </w:rPr>
              <w:t>T à 150–200 m</w:t>
            </w:r>
          </w:p>
        </w:tc>
        <w:tc>
          <w:tcPr>
            <w:tcW w:w="2200" w:type="dxa"/>
            <w:shd w:val="clear" w:color="auto" w:fill="F4F4F2"/>
            <w:tcMar>
              <w:top w:w="80" w:type="dxa"/>
              <w:left w:w="100" w:type="dxa"/>
              <w:bottom w:w="80" w:type="dxa"/>
              <w:right w:w="100" w:type="dxa"/>
            </w:tcMar>
          </w:tcPr>
          <w:p w14:paraId="20C4FB8C" w14:textId="77777777" w:rsidR="008E7E6D" w:rsidRDefault="00000000">
            <w:proofErr w:type="spellStart"/>
            <w:r>
              <w:rPr>
                <w:rFonts w:ascii="Calibri" w:eastAsia="Calibri" w:hAnsi="Calibri" w:cs="Calibri"/>
                <w:color w:val="222222"/>
                <w:sz w:val="18"/>
                <w:szCs w:val="18"/>
              </w:rPr>
              <w:t>T_f</w:t>
            </w:r>
            <w:proofErr w:type="spellEnd"/>
            <w:r>
              <w:rPr>
                <w:rFonts w:ascii="Calibri" w:eastAsia="Calibri" w:hAnsi="Calibri" w:cs="Calibri"/>
                <w:color w:val="222222"/>
                <w:sz w:val="18"/>
                <w:szCs w:val="18"/>
              </w:rPr>
              <w:t xml:space="preserve"> (°C)</w:t>
            </w:r>
          </w:p>
        </w:tc>
        <w:tc>
          <w:tcPr>
            <w:tcW w:w="4400" w:type="dxa"/>
            <w:shd w:val="clear" w:color="auto" w:fill="F4F4F2"/>
            <w:tcMar>
              <w:top w:w="80" w:type="dxa"/>
              <w:left w:w="100" w:type="dxa"/>
              <w:bottom w:w="80" w:type="dxa"/>
              <w:right w:w="100" w:type="dxa"/>
            </w:tcMar>
          </w:tcPr>
          <w:p w14:paraId="3FF2FF34" w14:textId="77777777" w:rsidR="008E7E6D" w:rsidRDefault="00000000">
            <w:r>
              <w:rPr>
                <w:rFonts w:ascii="Calibri" w:eastAsia="Calibri" w:hAnsi="Calibri" w:cs="Calibri"/>
                <w:color w:val="222222"/>
                <w:sz w:val="18"/>
                <w:szCs w:val="18"/>
              </w:rPr>
              <w:t>12–15 (boucle fermée)</w:t>
            </w:r>
          </w:p>
        </w:tc>
      </w:tr>
      <w:tr w:rsidR="008E7E6D" w:rsidRPr="008308F6" w14:paraId="06C02756" w14:textId="77777777">
        <w:tblPrEx>
          <w:tblCellMar>
            <w:top w:w="0" w:type="dxa"/>
            <w:bottom w:w="0" w:type="dxa"/>
          </w:tblCellMar>
        </w:tblPrEx>
        <w:tc>
          <w:tcPr>
            <w:tcW w:w="3400" w:type="dxa"/>
            <w:tcMar>
              <w:top w:w="80" w:type="dxa"/>
              <w:left w:w="100" w:type="dxa"/>
              <w:bottom w:w="80" w:type="dxa"/>
              <w:right w:w="100" w:type="dxa"/>
            </w:tcMar>
          </w:tcPr>
          <w:p w14:paraId="5E69C9FA" w14:textId="77777777" w:rsidR="008E7E6D" w:rsidRDefault="00000000">
            <w:r>
              <w:rPr>
                <w:rFonts w:ascii="Calibri" w:eastAsia="Calibri" w:hAnsi="Calibri" w:cs="Calibri"/>
                <w:color w:val="222222"/>
                <w:sz w:val="18"/>
                <w:szCs w:val="18"/>
              </w:rPr>
              <w:t xml:space="preserve">Longueur sonde </w:t>
            </w:r>
            <w:proofErr w:type="spellStart"/>
            <w:r>
              <w:rPr>
                <w:rFonts w:ascii="Calibri" w:eastAsia="Calibri" w:hAnsi="Calibri" w:cs="Calibri"/>
                <w:color w:val="222222"/>
                <w:sz w:val="18"/>
                <w:szCs w:val="18"/>
              </w:rPr>
              <w:t>unitaire</w:t>
            </w:r>
            <w:proofErr w:type="spellEnd"/>
          </w:p>
        </w:tc>
        <w:tc>
          <w:tcPr>
            <w:tcW w:w="2200" w:type="dxa"/>
            <w:tcMar>
              <w:top w:w="80" w:type="dxa"/>
              <w:left w:w="100" w:type="dxa"/>
              <w:bottom w:w="80" w:type="dxa"/>
              <w:right w:w="100" w:type="dxa"/>
            </w:tcMar>
          </w:tcPr>
          <w:p w14:paraId="1B7659EF" w14:textId="77777777" w:rsidR="008E7E6D" w:rsidRDefault="00000000">
            <w:r>
              <w:rPr>
                <w:rFonts w:ascii="Calibri" w:eastAsia="Calibri" w:hAnsi="Calibri" w:cs="Calibri"/>
                <w:color w:val="222222"/>
                <w:sz w:val="18"/>
                <w:szCs w:val="18"/>
              </w:rPr>
              <w:t>L (m)</w:t>
            </w:r>
          </w:p>
        </w:tc>
        <w:tc>
          <w:tcPr>
            <w:tcW w:w="4400" w:type="dxa"/>
            <w:tcMar>
              <w:top w:w="80" w:type="dxa"/>
              <w:left w:w="100" w:type="dxa"/>
              <w:bottom w:w="80" w:type="dxa"/>
              <w:right w:w="100" w:type="dxa"/>
            </w:tcMar>
          </w:tcPr>
          <w:p w14:paraId="2664DEB2" w14:textId="77777777" w:rsidR="008E7E6D" w:rsidRPr="008308F6" w:rsidRDefault="00000000">
            <w:pPr>
              <w:rPr>
                <w:lang w:val="fr-FR"/>
              </w:rPr>
            </w:pPr>
            <w:r w:rsidRPr="008308F6">
              <w:rPr>
                <w:rFonts w:ascii="Calibri" w:eastAsia="Calibri" w:hAnsi="Calibri" w:cs="Calibri"/>
                <w:color w:val="222222"/>
                <w:sz w:val="18"/>
                <w:szCs w:val="18"/>
                <w:lang w:val="fr-FR"/>
              </w:rPr>
              <w:t xml:space="preserve">80–230 selon charge et </w:t>
            </w:r>
            <w:r>
              <w:rPr>
                <w:rFonts w:ascii="Calibri" w:eastAsia="Calibri" w:hAnsi="Calibri" w:cs="Calibri"/>
                <w:color w:val="222222"/>
                <w:sz w:val="18"/>
                <w:szCs w:val="18"/>
              </w:rPr>
              <w:t>λ</w:t>
            </w:r>
            <w:r w:rsidRPr="008308F6">
              <w:rPr>
                <w:rFonts w:ascii="Calibri" w:eastAsia="Calibri" w:hAnsi="Calibri" w:cs="Calibri"/>
                <w:color w:val="222222"/>
                <w:sz w:val="18"/>
                <w:szCs w:val="18"/>
                <w:lang w:val="fr-FR"/>
              </w:rPr>
              <w:t xml:space="preserve"> roche</w:t>
            </w:r>
          </w:p>
        </w:tc>
      </w:tr>
      <w:tr w:rsidR="008E7E6D" w:rsidRPr="008308F6" w14:paraId="14667E8E" w14:textId="77777777">
        <w:tblPrEx>
          <w:tblCellMar>
            <w:top w:w="0" w:type="dxa"/>
            <w:bottom w:w="0" w:type="dxa"/>
          </w:tblCellMar>
        </w:tblPrEx>
        <w:tc>
          <w:tcPr>
            <w:tcW w:w="3400" w:type="dxa"/>
            <w:shd w:val="clear" w:color="auto" w:fill="F4F4F2"/>
            <w:tcMar>
              <w:top w:w="80" w:type="dxa"/>
              <w:left w:w="100" w:type="dxa"/>
              <w:bottom w:w="80" w:type="dxa"/>
              <w:right w:w="100" w:type="dxa"/>
            </w:tcMar>
          </w:tcPr>
          <w:p w14:paraId="14B1CB76" w14:textId="77777777" w:rsidR="008E7E6D" w:rsidRDefault="00000000">
            <w:r>
              <w:rPr>
                <w:rFonts w:ascii="Calibri" w:eastAsia="Calibri" w:hAnsi="Calibri" w:cs="Calibri"/>
                <w:color w:val="222222"/>
                <w:sz w:val="18"/>
                <w:szCs w:val="18"/>
              </w:rPr>
              <w:t>Puissance extractible indicative</w:t>
            </w:r>
          </w:p>
        </w:tc>
        <w:tc>
          <w:tcPr>
            <w:tcW w:w="2200" w:type="dxa"/>
            <w:shd w:val="clear" w:color="auto" w:fill="F4F4F2"/>
            <w:tcMar>
              <w:top w:w="80" w:type="dxa"/>
              <w:left w:w="100" w:type="dxa"/>
              <w:bottom w:w="80" w:type="dxa"/>
              <w:right w:w="100" w:type="dxa"/>
            </w:tcMar>
          </w:tcPr>
          <w:p w14:paraId="03D730B5" w14:textId="77777777" w:rsidR="008E7E6D" w:rsidRDefault="00000000">
            <w:r>
              <w:rPr>
                <w:rFonts w:ascii="Calibri" w:eastAsia="Calibri" w:hAnsi="Calibri" w:cs="Calibri"/>
                <w:color w:val="222222"/>
                <w:sz w:val="18"/>
                <w:szCs w:val="18"/>
              </w:rPr>
              <w:t>q (W/m)</w:t>
            </w:r>
          </w:p>
        </w:tc>
        <w:tc>
          <w:tcPr>
            <w:tcW w:w="4400" w:type="dxa"/>
            <w:shd w:val="clear" w:color="auto" w:fill="F4F4F2"/>
            <w:tcMar>
              <w:top w:w="80" w:type="dxa"/>
              <w:left w:w="100" w:type="dxa"/>
              <w:bottom w:w="80" w:type="dxa"/>
              <w:right w:w="100" w:type="dxa"/>
            </w:tcMar>
          </w:tcPr>
          <w:p w14:paraId="71744420" w14:textId="77777777" w:rsidR="008E7E6D" w:rsidRPr="008308F6" w:rsidRDefault="00000000">
            <w:pPr>
              <w:rPr>
                <w:lang w:val="fr-FR"/>
              </w:rPr>
            </w:pPr>
            <w:r w:rsidRPr="008308F6">
              <w:rPr>
                <w:rFonts w:ascii="Calibri" w:eastAsia="Calibri" w:hAnsi="Calibri" w:cs="Calibri"/>
                <w:color w:val="222222"/>
                <w:sz w:val="18"/>
                <w:szCs w:val="18"/>
                <w:lang w:val="fr-FR"/>
              </w:rPr>
              <w:t>35–55 W/m (TRT obligatoire au-delà d'un seuil)</w:t>
            </w:r>
          </w:p>
        </w:tc>
      </w:tr>
      <w:tr w:rsidR="008E7E6D" w:rsidRPr="008308F6" w14:paraId="5942A980" w14:textId="77777777">
        <w:tblPrEx>
          <w:tblCellMar>
            <w:top w:w="0" w:type="dxa"/>
            <w:bottom w:w="0" w:type="dxa"/>
          </w:tblCellMar>
        </w:tblPrEx>
        <w:tc>
          <w:tcPr>
            <w:tcW w:w="3400" w:type="dxa"/>
            <w:tcMar>
              <w:top w:w="80" w:type="dxa"/>
              <w:left w:w="100" w:type="dxa"/>
              <w:bottom w:w="80" w:type="dxa"/>
              <w:right w:w="100" w:type="dxa"/>
            </w:tcMar>
          </w:tcPr>
          <w:p w14:paraId="3B11DBE3" w14:textId="77777777" w:rsidR="008E7E6D" w:rsidRDefault="00000000">
            <w:r>
              <w:rPr>
                <w:rFonts w:ascii="Calibri" w:eastAsia="Calibri" w:hAnsi="Calibri" w:cs="Calibri"/>
                <w:color w:val="222222"/>
                <w:sz w:val="18"/>
                <w:szCs w:val="18"/>
              </w:rPr>
              <w:t>Sonde</w:t>
            </w:r>
          </w:p>
        </w:tc>
        <w:tc>
          <w:tcPr>
            <w:tcW w:w="2200" w:type="dxa"/>
            <w:tcMar>
              <w:top w:w="80" w:type="dxa"/>
              <w:left w:w="100" w:type="dxa"/>
              <w:bottom w:w="80" w:type="dxa"/>
              <w:right w:w="100" w:type="dxa"/>
            </w:tcMar>
          </w:tcPr>
          <w:p w14:paraId="372D6630" w14:textId="77777777" w:rsidR="008E7E6D" w:rsidRDefault="00000000">
            <w:r>
              <w:rPr>
                <w:rFonts w:ascii="Calibri" w:eastAsia="Calibri" w:hAnsi="Calibri" w:cs="Calibri"/>
                <w:color w:val="222222"/>
                <w:sz w:val="18"/>
                <w:szCs w:val="18"/>
              </w:rPr>
              <w:t>—</w:t>
            </w:r>
          </w:p>
        </w:tc>
        <w:tc>
          <w:tcPr>
            <w:tcW w:w="4400" w:type="dxa"/>
            <w:tcMar>
              <w:top w:w="80" w:type="dxa"/>
              <w:left w:w="100" w:type="dxa"/>
              <w:bottom w:w="80" w:type="dxa"/>
              <w:right w:w="100" w:type="dxa"/>
            </w:tcMar>
          </w:tcPr>
          <w:p w14:paraId="63B6074B" w14:textId="77777777" w:rsidR="008E7E6D" w:rsidRPr="008308F6" w:rsidRDefault="00000000">
            <w:pPr>
              <w:rPr>
                <w:lang w:val="fr-FR"/>
              </w:rPr>
            </w:pPr>
            <w:r w:rsidRPr="008308F6">
              <w:rPr>
                <w:rFonts w:ascii="Calibri" w:eastAsia="Calibri" w:hAnsi="Calibri" w:cs="Calibri"/>
                <w:color w:val="222222"/>
                <w:sz w:val="18"/>
                <w:szCs w:val="18"/>
                <w:lang w:val="fr-FR"/>
              </w:rPr>
              <w:t>Double U PEHD, fluide eau glycolée, circuit fermé</w:t>
            </w:r>
          </w:p>
        </w:tc>
      </w:tr>
      <w:tr w:rsidR="008E7E6D" w:rsidRPr="008308F6" w14:paraId="3CE4C631" w14:textId="77777777">
        <w:tblPrEx>
          <w:tblCellMar>
            <w:top w:w="0" w:type="dxa"/>
            <w:bottom w:w="0" w:type="dxa"/>
          </w:tblCellMar>
        </w:tblPrEx>
        <w:tc>
          <w:tcPr>
            <w:tcW w:w="3400" w:type="dxa"/>
            <w:shd w:val="clear" w:color="auto" w:fill="F4F4F2"/>
            <w:tcMar>
              <w:top w:w="80" w:type="dxa"/>
              <w:left w:w="100" w:type="dxa"/>
              <w:bottom w:w="80" w:type="dxa"/>
              <w:right w:w="100" w:type="dxa"/>
            </w:tcMar>
          </w:tcPr>
          <w:p w14:paraId="6D6D8ADC" w14:textId="77777777" w:rsidR="008E7E6D" w:rsidRDefault="00000000">
            <w:r>
              <w:rPr>
                <w:rFonts w:ascii="Calibri" w:eastAsia="Calibri" w:hAnsi="Calibri" w:cs="Calibri"/>
                <w:color w:val="222222"/>
                <w:sz w:val="18"/>
                <w:szCs w:val="18"/>
              </w:rPr>
              <w:t xml:space="preserve">Emprise champ vertical </w:t>
            </w:r>
            <w:proofErr w:type="spellStart"/>
            <w:r>
              <w:rPr>
                <w:rFonts w:ascii="Calibri" w:eastAsia="Calibri" w:hAnsi="Calibri" w:cs="Calibri"/>
                <w:color w:val="222222"/>
                <w:sz w:val="18"/>
                <w:szCs w:val="18"/>
              </w:rPr>
              <w:t>classique</w:t>
            </w:r>
            <w:proofErr w:type="spellEnd"/>
          </w:p>
        </w:tc>
        <w:tc>
          <w:tcPr>
            <w:tcW w:w="2200" w:type="dxa"/>
            <w:shd w:val="clear" w:color="auto" w:fill="F4F4F2"/>
            <w:tcMar>
              <w:top w:w="80" w:type="dxa"/>
              <w:left w:w="100" w:type="dxa"/>
              <w:bottom w:w="80" w:type="dxa"/>
              <w:right w:w="100" w:type="dxa"/>
            </w:tcMar>
          </w:tcPr>
          <w:p w14:paraId="1E750153" w14:textId="77777777" w:rsidR="008E7E6D" w:rsidRDefault="00000000">
            <w:r>
              <w:rPr>
                <w:rFonts w:ascii="Calibri" w:eastAsia="Calibri" w:hAnsi="Calibri" w:cs="Calibri"/>
                <w:color w:val="222222"/>
                <w:sz w:val="18"/>
                <w:szCs w:val="18"/>
              </w:rPr>
              <w:t>S (m²)</w:t>
            </w:r>
          </w:p>
        </w:tc>
        <w:tc>
          <w:tcPr>
            <w:tcW w:w="4400" w:type="dxa"/>
            <w:shd w:val="clear" w:color="auto" w:fill="F4F4F2"/>
            <w:tcMar>
              <w:top w:w="80" w:type="dxa"/>
              <w:left w:w="100" w:type="dxa"/>
              <w:bottom w:w="80" w:type="dxa"/>
              <w:right w:w="100" w:type="dxa"/>
            </w:tcMar>
          </w:tcPr>
          <w:p w14:paraId="09C09A1B" w14:textId="77777777" w:rsidR="008E7E6D" w:rsidRPr="008308F6" w:rsidRDefault="00000000">
            <w:pPr>
              <w:rPr>
                <w:lang w:val="fr-FR"/>
              </w:rPr>
            </w:pPr>
            <w:r w:rsidRPr="008308F6">
              <w:rPr>
                <w:rFonts w:ascii="Calibri" w:eastAsia="Calibri" w:hAnsi="Calibri" w:cs="Calibri"/>
                <w:color w:val="222222"/>
                <w:sz w:val="18"/>
                <w:szCs w:val="18"/>
                <w:lang w:val="fr-FR"/>
              </w:rPr>
              <w:t>Décamètres à hectares selon n</w:t>
            </w:r>
          </w:p>
        </w:tc>
      </w:tr>
      <w:tr w:rsidR="008E7E6D" w:rsidRPr="008308F6" w14:paraId="3948223F" w14:textId="77777777">
        <w:tblPrEx>
          <w:tblCellMar>
            <w:top w:w="0" w:type="dxa"/>
            <w:bottom w:w="0" w:type="dxa"/>
          </w:tblCellMar>
        </w:tblPrEx>
        <w:tc>
          <w:tcPr>
            <w:tcW w:w="3400" w:type="dxa"/>
            <w:tcMar>
              <w:top w:w="80" w:type="dxa"/>
              <w:left w:w="100" w:type="dxa"/>
              <w:bottom w:w="80" w:type="dxa"/>
              <w:right w:w="100" w:type="dxa"/>
            </w:tcMar>
          </w:tcPr>
          <w:p w14:paraId="2F940B1C" w14:textId="77777777" w:rsidR="008E7E6D" w:rsidRDefault="00000000">
            <w:r>
              <w:rPr>
                <w:rFonts w:ascii="Calibri" w:eastAsia="Calibri" w:hAnsi="Calibri" w:cs="Calibri"/>
                <w:color w:val="222222"/>
                <w:sz w:val="18"/>
                <w:szCs w:val="18"/>
              </w:rPr>
              <w:t xml:space="preserve">Emprise forage </w:t>
            </w:r>
            <w:proofErr w:type="spellStart"/>
            <w:r>
              <w:rPr>
                <w:rFonts w:ascii="Calibri" w:eastAsia="Calibri" w:hAnsi="Calibri" w:cs="Calibri"/>
                <w:color w:val="222222"/>
                <w:sz w:val="18"/>
                <w:szCs w:val="18"/>
              </w:rPr>
              <w:t>en</w:t>
            </w:r>
            <w:proofErr w:type="spellEnd"/>
            <w:r>
              <w:rPr>
                <w:rFonts w:ascii="Calibri" w:eastAsia="Calibri" w:hAnsi="Calibri" w:cs="Calibri"/>
                <w:color w:val="222222"/>
                <w:sz w:val="18"/>
                <w:szCs w:val="18"/>
              </w:rPr>
              <w:t xml:space="preserve"> étoile</w:t>
            </w:r>
          </w:p>
        </w:tc>
        <w:tc>
          <w:tcPr>
            <w:tcW w:w="2200" w:type="dxa"/>
            <w:tcMar>
              <w:top w:w="80" w:type="dxa"/>
              <w:left w:w="100" w:type="dxa"/>
              <w:bottom w:w="80" w:type="dxa"/>
              <w:right w:w="100" w:type="dxa"/>
            </w:tcMar>
          </w:tcPr>
          <w:p w14:paraId="5D7B0BAF" w14:textId="77777777" w:rsidR="008E7E6D" w:rsidRDefault="00000000">
            <w:r>
              <w:rPr>
                <w:rFonts w:ascii="Calibri" w:eastAsia="Calibri" w:hAnsi="Calibri" w:cs="Calibri"/>
                <w:color w:val="222222"/>
                <w:sz w:val="18"/>
                <w:szCs w:val="18"/>
              </w:rPr>
              <w:t>S* (m²)</w:t>
            </w:r>
          </w:p>
        </w:tc>
        <w:tc>
          <w:tcPr>
            <w:tcW w:w="4400" w:type="dxa"/>
            <w:tcMar>
              <w:top w:w="80" w:type="dxa"/>
              <w:left w:w="100" w:type="dxa"/>
              <w:bottom w:w="80" w:type="dxa"/>
              <w:right w:w="100" w:type="dxa"/>
            </w:tcMar>
          </w:tcPr>
          <w:p w14:paraId="547C2299" w14:textId="77777777" w:rsidR="008E7E6D" w:rsidRPr="008308F6" w:rsidRDefault="00000000">
            <w:pPr>
              <w:rPr>
                <w:lang w:val="fr-FR"/>
              </w:rPr>
            </w:pPr>
            <w:r w:rsidRPr="008308F6">
              <w:rPr>
                <w:rFonts w:ascii="Calibri" w:eastAsia="Calibri" w:hAnsi="Calibri" w:cs="Calibri"/>
                <w:color w:val="222222"/>
                <w:sz w:val="18"/>
                <w:szCs w:val="18"/>
                <w:lang w:val="fr-FR"/>
              </w:rPr>
              <w:t>÷10 · parfois ≈ 20 m² au pied d'immeuble</w:t>
            </w:r>
          </w:p>
        </w:tc>
      </w:tr>
      <w:tr w:rsidR="008E7E6D" w14:paraId="36134CEE" w14:textId="77777777">
        <w:tblPrEx>
          <w:tblCellMar>
            <w:top w:w="0" w:type="dxa"/>
            <w:bottom w:w="0" w:type="dxa"/>
          </w:tblCellMar>
        </w:tblPrEx>
        <w:tc>
          <w:tcPr>
            <w:tcW w:w="3400" w:type="dxa"/>
            <w:shd w:val="clear" w:color="auto" w:fill="F4F4F2"/>
            <w:tcMar>
              <w:top w:w="80" w:type="dxa"/>
              <w:left w:w="100" w:type="dxa"/>
              <w:bottom w:w="80" w:type="dxa"/>
              <w:right w:w="100" w:type="dxa"/>
            </w:tcMar>
          </w:tcPr>
          <w:p w14:paraId="1F569C7C" w14:textId="77777777" w:rsidR="008E7E6D" w:rsidRDefault="00000000">
            <w:proofErr w:type="spellStart"/>
            <w:r>
              <w:rPr>
                <w:rFonts w:ascii="Calibri" w:eastAsia="Calibri" w:hAnsi="Calibri" w:cs="Calibri"/>
                <w:color w:val="222222"/>
                <w:sz w:val="18"/>
                <w:szCs w:val="18"/>
              </w:rPr>
              <w:t>Coût</w:t>
            </w:r>
            <w:proofErr w:type="spellEnd"/>
            <w:r>
              <w:rPr>
                <w:rFonts w:ascii="Calibri" w:eastAsia="Calibri" w:hAnsi="Calibri" w:cs="Calibri"/>
                <w:color w:val="222222"/>
                <w:sz w:val="18"/>
                <w:szCs w:val="18"/>
              </w:rPr>
              <w:t xml:space="preserve"> </w:t>
            </w:r>
            <w:proofErr w:type="spellStart"/>
            <w:r>
              <w:rPr>
                <w:rFonts w:ascii="Calibri" w:eastAsia="Calibri" w:hAnsi="Calibri" w:cs="Calibri"/>
                <w:color w:val="222222"/>
                <w:sz w:val="18"/>
                <w:szCs w:val="18"/>
              </w:rPr>
              <w:t>linéaire</w:t>
            </w:r>
            <w:proofErr w:type="spellEnd"/>
            <w:r>
              <w:rPr>
                <w:rFonts w:ascii="Calibri" w:eastAsia="Calibri" w:hAnsi="Calibri" w:cs="Calibri"/>
                <w:color w:val="222222"/>
                <w:sz w:val="18"/>
                <w:szCs w:val="18"/>
              </w:rPr>
              <w:t xml:space="preserve"> forage + sonde</w:t>
            </w:r>
          </w:p>
        </w:tc>
        <w:tc>
          <w:tcPr>
            <w:tcW w:w="2200" w:type="dxa"/>
            <w:shd w:val="clear" w:color="auto" w:fill="F4F4F2"/>
            <w:tcMar>
              <w:top w:w="80" w:type="dxa"/>
              <w:left w:w="100" w:type="dxa"/>
              <w:bottom w:w="80" w:type="dxa"/>
              <w:right w:w="100" w:type="dxa"/>
            </w:tcMar>
          </w:tcPr>
          <w:p w14:paraId="58BE1378" w14:textId="77777777" w:rsidR="008E7E6D" w:rsidRDefault="00000000">
            <w:r>
              <w:rPr>
                <w:rFonts w:ascii="Calibri" w:eastAsia="Calibri" w:hAnsi="Calibri" w:cs="Calibri"/>
                <w:color w:val="222222"/>
                <w:sz w:val="18"/>
                <w:szCs w:val="18"/>
              </w:rPr>
              <w:t>c (€/ml)</w:t>
            </w:r>
          </w:p>
        </w:tc>
        <w:tc>
          <w:tcPr>
            <w:tcW w:w="4400" w:type="dxa"/>
            <w:shd w:val="clear" w:color="auto" w:fill="F4F4F2"/>
            <w:tcMar>
              <w:top w:w="80" w:type="dxa"/>
              <w:left w:w="100" w:type="dxa"/>
              <w:bottom w:w="80" w:type="dxa"/>
              <w:right w:w="100" w:type="dxa"/>
            </w:tcMar>
          </w:tcPr>
          <w:p w14:paraId="0EFDB4F1" w14:textId="77777777" w:rsidR="008E7E6D" w:rsidRDefault="00000000">
            <w:r>
              <w:rPr>
                <w:rFonts w:ascii="Calibri" w:eastAsia="Calibri" w:hAnsi="Calibri" w:cs="Calibri"/>
                <w:color w:val="222222"/>
                <w:sz w:val="18"/>
                <w:szCs w:val="18"/>
              </w:rPr>
              <w:t xml:space="preserve">50–160 · </w:t>
            </w:r>
            <w:proofErr w:type="spellStart"/>
            <w:r>
              <w:rPr>
                <w:rFonts w:ascii="Calibri" w:eastAsia="Calibri" w:hAnsi="Calibri" w:cs="Calibri"/>
                <w:color w:val="222222"/>
                <w:sz w:val="18"/>
                <w:szCs w:val="18"/>
              </w:rPr>
              <w:t>médiane</w:t>
            </w:r>
            <w:proofErr w:type="spellEnd"/>
            <w:r>
              <w:rPr>
                <w:rFonts w:ascii="Calibri" w:eastAsia="Calibri" w:hAnsi="Calibri" w:cs="Calibri"/>
                <w:color w:val="222222"/>
                <w:sz w:val="18"/>
                <w:szCs w:val="18"/>
              </w:rPr>
              <w:t xml:space="preserve"> ≈ 105 (2025)</w:t>
            </w:r>
          </w:p>
        </w:tc>
      </w:tr>
      <w:tr w:rsidR="008E7E6D" w:rsidRPr="008308F6" w14:paraId="0F24C920" w14:textId="77777777">
        <w:tblPrEx>
          <w:tblCellMar>
            <w:top w:w="0" w:type="dxa"/>
            <w:bottom w:w="0" w:type="dxa"/>
          </w:tblCellMar>
        </w:tblPrEx>
        <w:tc>
          <w:tcPr>
            <w:tcW w:w="3400" w:type="dxa"/>
            <w:tcMar>
              <w:top w:w="80" w:type="dxa"/>
              <w:left w:w="100" w:type="dxa"/>
              <w:bottom w:w="80" w:type="dxa"/>
              <w:right w:w="100" w:type="dxa"/>
            </w:tcMar>
          </w:tcPr>
          <w:p w14:paraId="1D7B15F6" w14:textId="77777777" w:rsidR="008E7E6D" w:rsidRDefault="00000000">
            <w:r>
              <w:rPr>
                <w:rFonts w:ascii="Calibri" w:eastAsia="Calibri" w:hAnsi="Calibri" w:cs="Calibri"/>
                <w:color w:val="222222"/>
                <w:sz w:val="18"/>
                <w:szCs w:val="18"/>
              </w:rPr>
              <w:t xml:space="preserve">Protection </w:t>
            </w:r>
            <w:proofErr w:type="spellStart"/>
            <w:r>
              <w:rPr>
                <w:rFonts w:ascii="Calibri" w:eastAsia="Calibri" w:hAnsi="Calibri" w:cs="Calibri"/>
                <w:color w:val="222222"/>
                <w:sz w:val="18"/>
                <w:szCs w:val="18"/>
              </w:rPr>
              <w:t>aquifère</w:t>
            </w:r>
            <w:proofErr w:type="spellEnd"/>
            <w:r>
              <w:rPr>
                <w:rFonts w:ascii="Calibri" w:eastAsia="Calibri" w:hAnsi="Calibri" w:cs="Calibri"/>
                <w:color w:val="222222"/>
                <w:sz w:val="18"/>
                <w:szCs w:val="18"/>
              </w:rPr>
              <w:t xml:space="preserve"> potable (Albien…)</w:t>
            </w:r>
          </w:p>
        </w:tc>
        <w:tc>
          <w:tcPr>
            <w:tcW w:w="2200" w:type="dxa"/>
            <w:tcMar>
              <w:top w:w="80" w:type="dxa"/>
              <w:left w:w="100" w:type="dxa"/>
              <w:bottom w:w="80" w:type="dxa"/>
              <w:right w:w="100" w:type="dxa"/>
            </w:tcMar>
          </w:tcPr>
          <w:p w14:paraId="16064D7F" w14:textId="77777777" w:rsidR="008E7E6D" w:rsidRDefault="00000000">
            <w:r>
              <w:rPr>
                <w:rFonts w:ascii="Calibri" w:eastAsia="Calibri" w:hAnsi="Calibri" w:cs="Calibri"/>
                <w:color w:val="222222"/>
                <w:sz w:val="18"/>
                <w:szCs w:val="18"/>
              </w:rPr>
              <w:t>—</w:t>
            </w:r>
          </w:p>
        </w:tc>
        <w:tc>
          <w:tcPr>
            <w:tcW w:w="4400" w:type="dxa"/>
            <w:tcMar>
              <w:top w:w="80" w:type="dxa"/>
              <w:left w:w="100" w:type="dxa"/>
              <w:bottom w:w="80" w:type="dxa"/>
              <w:right w:w="100" w:type="dxa"/>
            </w:tcMar>
          </w:tcPr>
          <w:p w14:paraId="0AD7AD6C" w14:textId="77777777" w:rsidR="008E7E6D" w:rsidRPr="008308F6" w:rsidRDefault="00000000">
            <w:pPr>
              <w:rPr>
                <w:lang w:val="fr-FR"/>
              </w:rPr>
            </w:pPr>
            <w:r w:rsidRPr="008308F6">
              <w:rPr>
                <w:rFonts w:ascii="Calibri" w:eastAsia="Calibri" w:hAnsi="Calibri" w:cs="Calibri"/>
                <w:color w:val="222222"/>
                <w:sz w:val="18"/>
                <w:szCs w:val="18"/>
                <w:lang w:val="fr-FR"/>
              </w:rPr>
              <w:t>Double étage de cimentation ; surcoût réel</w:t>
            </w:r>
          </w:p>
        </w:tc>
      </w:tr>
    </w:tbl>
    <w:p w14:paraId="11448FA5" w14:textId="77777777" w:rsidR="008E7E6D" w:rsidRPr="008308F6" w:rsidRDefault="00000000">
      <w:pPr>
        <w:spacing w:before="260" w:after="120"/>
        <w:rPr>
          <w:lang w:val="fr-FR"/>
        </w:rPr>
      </w:pPr>
      <w:proofErr w:type="gramStart"/>
      <w:r w:rsidRPr="008308F6">
        <w:rPr>
          <w:rFonts w:ascii="Calibri" w:eastAsia="Calibri" w:hAnsi="Calibri" w:cs="Calibri"/>
          <w:b/>
          <w:bCs/>
          <w:color w:val="1F6F5C"/>
          <w:sz w:val="24"/>
          <w:szCs w:val="24"/>
          <w:lang w:val="fr-FR"/>
        </w:rPr>
        <w:t>4.2  Données</w:t>
      </w:r>
      <w:proofErr w:type="gramEnd"/>
      <w:r w:rsidRPr="008308F6">
        <w:rPr>
          <w:rFonts w:ascii="Calibri" w:eastAsia="Calibri" w:hAnsi="Calibri" w:cs="Calibri"/>
          <w:b/>
          <w:bCs/>
          <w:color w:val="1F6F5C"/>
          <w:sz w:val="24"/>
          <w:szCs w:val="24"/>
          <w:lang w:val="fr-FR"/>
        </w:rPr>
        <w:t xml:space="preserve"> de base — profond calogène (Dogger / Bathonien type)</w:t>
      </w:r>
    </w:p>
    <w:tbl>
      <w:tblPr>
        <w:tblW w:w="10000" w:type="dxa"/>
        <w:tblBorders>
          <w:top w:val="single" w:sz="2" w:space="0" w:color="CCCCCC"/>
          <w:left w:val="single" w:sz="2" w:space="0" w:color="CCCCCC"/>
          <w:bottom w:val="single" w:sz="2" w:space="0" w:color="CCCCCC"/>
          <w:right w:val="single" w:sz="2" w:space="0" w:color="CCCCCC"/>
          <w:insideH w:val="single" w:sz="2" w:space="0" w:color="DDDDDD"/>
          <w:insideV w:val="single" w:sz="2" w:space="0" w:color="DDDDDD"/>
        </w:tblBorders>
        <w:tblCellMar>
          <w:left w:w="10" w:type="dxa"/>
          <w:right w:w="10" w:type="dxa"/>
        </w:tblCellMar>
        <w:tblLook w:val="04A0" w:firstRow="1" w:lastRow="0" w:firstColumn="1" w:lastColumn="0" w:noHBand="0" w:noVBand="1"/>
      </w:tblPr>
      <w:tblGrid>
        <w:gridCol w:w="3400"/>
        <w:gridCol w:w="2200"/>
        <w:gridCol w:w="4400"/>
      </w:tblGrid>
      <w:tr w:rsidR="008E7E6D" w14:paraId="476C2CC0" w14:textId="77777777">
        <w:tblPrEx>
          <w:tblCellMar>
            <w:top w:w="0" w:type="dxa"/>
            <w:bottom w:w="0" w:type="dxa"/>
          </w:tblCellMar>
        </w:tblPrEx>
        <w:trPr>
          <w:tblHeader/>
        </w:trPr>
        <w:tc>
          <w:tcPr>
            <w:tcW w:w="3400" w:type="dxa"/>
            <w:shd w:val="clear" w:color="auto" w:fill="1B3A54"/>
            <w:tcMar>
              <w:top w:w="80" w:type="dxa"/>
              <w:left w:w="100" w:type="dxa"/>
              <w:bottom w:w="80" w:type="dxa"/>
              <w:right w:w="100" w:type="dxa"/>
            </w:tcMar>
            <w:vAlign w:val="center"/>
          </w:tcPr>
          <w:p w14:paraId="0E475734" w14:textId="77777777" w:rsidR="008E7E6D" w:rsidRDefault="00000000">
            <w:pPr>
              <w:jc w:val="center"/>
            </w:pPr>
            <w:proofErr w:type="spellStart"/>
            <w:r>
              <w:rPr>
                <w:rFonts w:ascii="Calibri" w:eastAsia="Calibri" w:hAnsi="Calibri" w:cs="Calibri"/>
                <w:b/>
                <w:bCs/>
                <w:color w:val="FFFFFF"/>
                <w:sz w:val="18"/>
                <w:szCs w:val="18"/>
              </w:rPr>
              <w:t>Paramètre</w:t>
            </w:r>
            <w:proofErr w:type="spellEnd"/>
          </w:p>
        </w:tc>
        <w:tc>
          <w:tcPr>
            <w:tcW w:w="2200" w:type="dxa"/>
            <w:shd w:val="clear" w:color="auto" w:fill="1B3A54"/>
            <w:tcMar>
              <w:top w:w="80" w:type="dxa"/>
              <w:left w:w="100" w:type="dxa"/>
              <w:bottom w:w="80" w:type="dxa"/>
              <w:right w:w="100" w:type="dxa"/>
            </w:tcMar>
            <w:vAlign w:val="center"/>
          </w:tcPr>
          <w:p w14:paraId="61E92A73" w14:textId="77777777" w:rsidR="008E7E6D" w:rsidRDefault="00000000">
            <w:pPr>
              <w:jc w:val="center"/>
            </w:pPr>
            <w:proofErr w:type="spellStart"/>
            <w:r>
              <w:rPr>
                <w:rFonts w:ascii="Calibri" w:eastAsia="Calibri" w:hAnsi="Calibri" w:cs="Calibri"/>
                <w:b/>
                <w:bCs/>
                <w:color w:val="FFFFFF"/>
                <w:sz w:val="18"/>
                <w:szCs w:val="18"/>
              </w:rPr>
              <w:t>Symbole</w:t>
            </w:r>
            <w:proofErr w:type="spellEnd"/>
            <w:r>
              <w:rPr>
                <w:rFonts w:ascii="Calibri" w:eastAsia="Calibri" w:hAnsi="Calibri" w:cs="Calibri"/>
                <w:b/>
                <w:bCs/>
                <w:color w:val="FFFFFF"/>
                <w:sz w:val="18"/>
                <w:szCs w:val="18"/>
              </w:rPr>
              <w:t xml:space="preserve"> / </w:t>
            </w:r>
            <w:proofErr w:type="spellStart"/>
            <w:r>
              <w:rPr>
                <w:rFonts w:ascii="Calibri" w:eastAsia="Calibri" w:hAnsi="Calibri" w:cs="Calibri"/>
                <w:b/>
                <w:bCs/>
                <w:color w:val="FFFFFF"/>
                <w:sz w:val="18"/>
                <w:szCs w:val="18"/>
              </w:rPr>
              <w:t>unité</w:t>
            </w:r>
            <w:proofErr w:type="spellEnd"/>
          </w:p>
        </w:tc>
        <w:tc>
          <w:tcPr>
            <w:tcW w:w="4400" w:type="dxa"/>
            <w:shd w:val="clear" w:color="auto" w:fill="1B3A54"/>
            <w:tcMar>
              <w:top w:w="80" w:type="dxa"/>
              <w:left w:w="100" w:type="dxa"/>
              <w:bottom w:w="80" w:type="dxa"/>
              <w:right w:w="100" w:type="dxa"/>
            </w:tcMar>
            <w:vAlign w:val="center"/>
          </w:tcPr>
          <w:p w14:paraId="490E5F55" w14:textId="77777777" w:rsidR="008E7E6D" w:rsidRDefault="00000000">
            <w:pPr>
              <w:jc w:val="center"/>
            </w:pPr>
            <w:r>
              <w:rPr>
                <w:rFonts w:ascii="Calibri" w:eastAsia="Calibri" w:hAnsi="Calibri" w:cs="Calibri"/>
                <w:b/>
                <w:bCs/>
                <w:color w:val="FFFFFF"/>
                <w:sz w:val="18"/>
                <w:szCs w:val="18"/>
              </w:rPr>
              <w:t>Ordre de grandeur</w:t>
            </w:r>
          </w:p>
        </w:tc>
      </w:tr>
      <w:tr w:rsidR="008E7E6D" w14:paraId="548405A4" w14:textId="77777777">
        <w:tblPrEx>
          <w:tblCellMar>
            <w:top w:w="0" w:type="dxa"/>
            <w:bottom w:w="0" w:type="dxa"/>
          </w:tblCellMar>
        </w:tblPrEx>
        <w:tc>
          <w:tcPr>
            <w:tcW w:w="3400" w:type="dxa"/>
            <w:tcMar>
              <w:top w:w="80" w:type="dxa"/>
              <w:left w:w="100" w:type="dxa"/>
              <w:bottom w:w="80" w:type="dxa"/>
              <w:right w:w="100" w:type="dxa"/>
            </w:tcMar>
          </w:tcPr>
          <w:p w14:paraId="1BFD98AB" w14:textId="77777777" w:rsidR="008E7E6D" w:rsidRDefault="00000000">
            <w:proofErr w:type="spellStart"/>
            <w:r>
              <w:rPr>
                <w:rFonts w:ascii="Calibri" w:eastAsia="Calibri" w:hAnsi="Calibri" w:cs="Calibri"/>
                <w:color w:val="222222"/>
                <w:sz w:val="18"/>
                <w:szCs w:val="18"/>
              </w:rPr>
              <w:t>Cible</w:t>
            </w:r>
            <w:proofErr w:type="spellEnd"/>
            <w:r>
              <w:rPr>
                <w:rFonts w:ascii="Calibri" w:eastAsia="Calibri" w:hAnsi="Calibri" w:cs="Calibri"/>
                <w:color w:val="222222"/>
                <w:sz w:val="18"/>
                <w:szCs w:val="18"/>
              </w:rPr>
              <w:t xml:space="preserve"> </w:t>
            </w:r>
            <w:proofErr w:type="spellStart"/>
            <w:r>
              <w:rPr>
                <w:rFonts w:ascii="Calibri" w:eastAsia="Calibri" w:hAnsi="Calibri" w:cs="Calibri"/>
                <w:color w:val="222222"/>
                <w:sz w:val="18"/>
                <w:szCs w:val="18"/>
              </w:rPr>
              <w:t>bassin</w:t>
            </w:r>
            <w:proofErr w:type="spellEnd"/>
            <w:r>
              <w:rPr>
                <w:rFonts w:ascii="Calibri" w:eastAsia="Calibri" w:hAnsi="Calibri" w:cs="Calibri"/>
                <w:color w:val="222222"/>
                <w:sz w:val="18"/>
                <w:szCs w:val="18"/>
              </w:rPr>
              <w:t xml:space="preserve"> </w:t>
            </w:r>
            <w:proofErr w:type="spellStart"/>
            <w:r>
              <w:rPr>
                <w:rFonts w:ascii="Calibri" w:eastAsia="Calibri" w:hAnsi="Calibri" w:cs="Calibri"/>
                <w:color w:val="222222"/>
                <w:sz w:val="18"/>
                <w:szCs w:val="18"/>
              </w:rPr>
              <w:t>parisien</w:t>
            </w:r>
            <w:proofErr w:type="spellEnd"/>
          </w:p>
        </w:tc>
        <w:tc>
          <w:tcPr>
            <w:tcW w:w="2200" w:type="dxa"/>
            <w:tcMar>
              <w:top w:w="80" w:type="dxa"/>
              <w:left w:w="100" w:type="dxa"/>
              <w:bottom w:w="80" w:type="dxa"/>
              <w:right w:w="100" w:type="dxa"/>
            </w:tcMar>
          </w:tcPr>
          <w:p w14:paraId="6AD6A692" w14:textId="77777777" w:rsidR="008E7E6D" w:rsidRDefault="00000000">
            <w:r>
              <w:rPr>
                <w:rFonts w:ascii="Calibri" w:eastAsia="Calibri" w:hAnsi="Calibri" w:cs="Calibri"/>
                <w:color w:val="222222"/>
                <w:sz w:val="18"/>
                <w:szCs w:val="18"/>
              </w:rPr>
              <w:t>z (m)</w:t>
            </w:r>
          </w:p>
        </w:tc>
        <w:tc>
          <w:tcPr>
            <w:tcW w:w="4400" w:type="dxa"/>
            <w:tcMar>
              <w:top w:w="80" w:type="dxa"/>
              <w:left w:w="100" w:type="dxa"/>
              <w:bottom w:w="80" w:type="dxa"/>
              <w:right w:w="100" w:type="dxa"/>
            </w:tcMar>
          </w:tcPr>
          <w:p w14:paraId="47C10FB2" w14:textId="77777777" w:rsidR="008E7E6D" w:rsidRDefault="00000000">
            <w:r>
              <w:rPr>
                <w:rFonts w:ascii="Calibri" w:eastAsia="Calibri" w:hAnsi="Calibri" w:cs="Calibri"/>
                <w:color w:val="222222"/>
                <w:sz w:val="18"/>
                <w:szCs w:val="18"/>
              </w:rPr>
              <w:t xml:space="preserve">1 500–2 000 (Dogger / </w:t>
            </w:r>
            <w:proofErr w:type="spellStart"/>
            <w:r>
              <w:rPr>
                <w:rFonts w:ascii="Calibri" w:eastAsia="Calibri" w:hAnsi="Calibri" w:cs="Calibri"/>
                <w:color w:val="222222"/>
                <w:sz w:val="18"/>
                <w:szCs w:val="18"/>
              </w:rPr>
              <w:t>Bathonien</w:t>
            </w:r>
            <w:proofErr w:type="spellEnd"/>
            <w:r>
              <w:rPr>
                <w:rFonts w:ascii="Calibri" w:eastAsia="Calibri" w:hAnsi="Calibri" w:cs="Calibri"/>
                <w:color w:val="222222"/>
                <w:sz w:val="18"/>
                <w:szCs w:val="18"/>
              </w:rPr>
              <w:t>)</w:t>
            </w:r>
          </w:p>
        </w:tc>
      </w:tr>
      <w:tr w:rsidR="008E7E6D" w14:paraId="73DE31CA" w14:textId="77777777">
        <w:tblPrEx>
          <w:tblCellMar>
            <w:top w:w="0" w:type="dxa"/>
            <w:bottom w:w="0" w:type="dxa"/>
          </w:tblCellMar>
        </w:tblPrEx>
        <w:tc>
          <w:tcPr>
            <w:tcW w:w="3400" w:type="dxa"/>
            <w:shd w:val="clear" w:color="auto" w:fill="F4F4F2"/>
            <w:tcMar>
              <w:top w:w="80" w:type="dxa"/>
              <w:left w:w="100" w:type="dxa"/>
              <w:bottom w:w="80" w:type="dxa"/>
              <w:right w:w="100" w:type="dxa"/>
            </w:tcMar>
          </w:tcPr>
          <w:p w14:paraId="67D94695" w14:textId="77777777" w:rsidR="008E7E6D" w:rsidRDefault="00000000">
            <w:proofErr w:type="spellStart"/>
            <w:r>
              <w:rPr>
                <w:rFonts w:ascii="Calibri" w:eastAsia="Calibri" w:hAnsi="Calibri" w:cs="Calibri"/>
                <w:color w:val="222222"/>
                <w:sz w:val="18"/>
                <w:szCs w:val="18"/>
              </w:rPr>
              <w:t>Température</w:t>
            </w:r>
            <w:proofErr w:type="spellEnd"/>
            <w:r>
              <w:rPr>
                <w:rFonts w:ascii="Calibri" w:eastAsia="Calibri" w:hAnsi="Calibri" w:cs="Calibri"/>
                <w:color w:val="222222"/>
                <w:sz w:val="18"/>
                <w:szCs w:val="18"/>
              </w:rPr>
              <w:t xml:space="preserve"> </w:t>
            </w:r>
            <w:proofErr w:type="spellStart"/>
            <w:r>
              <w:rPr>
                <w:rFonts w:ascii="Calibri" w:eastAsia="Calibri" w:hAnsi="Calibri" w:cs="Calibri"/>
                <w:color w:val="222222"/>
                <w:sz w:val="18"/>
                <w:szCs w:val="18"/>
              </w:rPr>
              <w:t>fluide</w:t>
            </w:r>
            <w:proofErr w:type="spellEnd"/>
          </w:p>
        </w:tc>
        <w:tc>
          <w:tcPr>
            <w:tcW w:w="2200" w:type="dxa"/>
            <w:shd w:val="clear" w:color="auto" w:fill="F4F4F2"/>
            <w:tcMar>
              <w:top w:w="80" w:type="dxa"/>
              <w:left w:w="100" w:type="dxa"/>
              <w:bottom w:w="80" w:type="dxa"/>
              <w:right w:w="100" w:type="dxa"/>
            </w:tcMar>
          </w:tcPr>
          <w:p w14:paraId="1575B273" w14:textId="77777777" w:rsidR="008E7E6D" w:rsidRDefault="00000000">
            <w:r>
              <w:rPr>
                <w:rFonts w:ascii="Calibri" w:eastAsia="Calibri" w:hAnsi="Calibri" w:cs="Calibri"/>
                <w:color w:val="222222"/>
                <w:sz w:val="18"/>
                <w:szCs w:val="18"/>
              </w:rPr>
              <w:t>T (°C)</w:t>
            </w:r>
          </w:p>
        </w:tc>
        <w:tc>
          <w:tcPr>
            <w:tcW w:w="4400" w:type="dxa"/>
            <w:shd w:val="clear" w:color="auto" w:fill="F4F4F2"/>
            <w:tcMar>
              <w:top w:w="80" w:type="dxa"/>
              <w:left w:w="100" w:type="dxa"/>
              <w:bottom w:w="80" w:type="dxa"/>
              <w:right w:w="100" w:type="dxa"/>
            </w:tcMar>
          </w:tcPr>
          <w:p w14:paraId="5F4BA3F7" w14:textId="77777777" w:rsidR="008E7E6D" w:rsidRDefault="00000000">
            <w:r>
              <w:rPr>
                <w:rFonts w:ascii="Calibri" w:eastAsia="Calibri" w:hAnsi="Calibri" w:cs="Calibri"/>
                <w:color w:val="222222"/>
                <w:sz w:val="18"/>
                <w:szCs w:val="18"/>
              </w:rPr>
              <w:t xml:space="preserve">55–85 </w:t>
            </w:r>
            <w:proofErr w:type="spellStart"/>
            <w:r>
              <w:rPr>
                <w:rFonts w:ascii="Calibri" w:eastAsia="Calibri" w:hAnsi="Calibri" w:cs="Calibri"/>
                <w:color w:val="222222"/>
                <w:sz w:val="18"/>
                <w:szCs w:val="18"/>
              </w:rPr>
              <w:t>selon</w:t>
            </w:r>
            <w:proofErr w:type="spellEnd"/>
            <w:r>
              <w:rPr>
                <w:rFonts w:ascii="Calibri" w:eastAsia="Calibri" w:hAnsi="Calibri" w:cs="Calibri"/>
                <w:color w:val="222222"/>
                <w:sz w:val="18"/>
                <w:szCs w:val="18"/>
              </w:rPr>
              <w:t xml:space="preserve"> </w:t>
            </w:r>
            <w:proofErr w:type="spellStart"/>
            <w:r>
              <w:rPr>
                <w:rFonts w:ascii="Calibri" w:eastAsia="Calibri" w:hAnsi="Calibri" w:cs="Calibri"/>
                <w:color w:val="222222"/>
                <w:sz w:val="18"/>
                <w:szCs w:val="18"/>
              </w:rPr>
              <w:t>secteur</w:t>
            </w:r>
            <w:proofErr w:type="spellEnd"/>
          </w:p>
        </w:tc>
      </w:tr>
      <w:tr w:rsidR="008E7E6D" w14:paraId="3731F1CD" w14:textId="77777777">
        <w:tblPrEx>
          <w:tblCellMar>
            <w:top w:w="0" w:type="dxa"/>
            <w:bottom w:w="0" w:type="dxa"/>
          </w:tblCellMar>
        </w:tblPrEx>
        <w:tc>
          <w:tcPr>
            <w:tcW w:w="3400" w:type="dxa"/>
            <w:tcMar>
              <w:top w:w="80" w:type="dxa"/>
              <w:left w:w="100" w:type="dxa"/>
              <w:bottom w:w="80" w:type="dxa"/>
              <w:right w:w="100" w:type="dxa"/>
            </w:tcMar>
          </w:tcPr>
          <w:p w14:paraId="2E290446" w14:textId="77777777" w:rsidR="008E7E6D" w:rsidRDefault="00000000">
            <w:r>
              <w:rPr>
                <w:rFonts w:ascii="Calibri" w:eastAsia="Calibri" w:hAnsi="Calibri" w:cs="Calibri"/>
                <w:color w:val="222222"/>
                <w:sz w:val="18"/>
                <w:szCs w:val="18"/>
              </w:rPr>
              <w:t>Architecture</w:t>
            </w:r>
          </w:p>
        </w:tc>
        <w:tc>
          <w:tcPr>
            <w:tcW w:w="2200" w:type="dxa"/>
            <w:tcMar>
              <w:top w:w="80" w:type="dxa"/>
              <w:left w:w="100" w:type="dxa"/>
              <w:bottom w:w="80" w:type="dxa"/>
              <w:right w:w="100" w:type="dxa"/>
            </w:tcMar>
          </w:tcPr>
          <w:p w14:paraId="7695CEDD" w14:textId="77777777" w:rsidR="008E7E6D" w:rsidRDefault="00000000">
            <w:r>
              <w:rPr>
                <w:rFonts w:ascii="Calibri" w:eastAsia="Calibri" w:hAnsi="Calibri" w:cs="Calibri"/>
                <w:color w:val="222222"/>
                <w:sz w:val="18"/>
                <w:szCs w:val="18"/>
              </w:rPr>
              <w:t>—</w:t>
            </w:r>
          </w:p>
        </w:tc>
        <w:tc>
          <w:tcPr>
            <w:tcW w:w="4400" w:type="dxa"/>
            <w:tcMar>
              <w:top w:w="80" w:type="dxa"/>
              <w:left w:w="100" w:type="dxa"/>
              <w:bottom w:w="80" w:type="dxa"/>
              <w:right w:w="100" w:type="dxa"/>
            </w:tcMar>
          </w:tcPr>
          <w:p w14:paraId="6C2DE187" w14:textId="77777777" w:rsidR="008E7E6D" w:rsidRDefault="00000000">
            <w:r>
              <w:rPr>
                <w:rFonts w:ascii="Calibri" w:eastAsia="Calibri" w:hAnsi="Calibri" w:cs="Calibri"/>
                <w:color w:val="222222"/>
                <w:sz w:val="18"/>
                <w:szCs w:val="18"/>
              </w:rPr>
              <w:t xml:space="preserve">Doublet </w:t>
            </w:r>
            <w:proofErr w:type="spellStart"/>
            <w:r>
              <w:rPr>
                <w:rFonts w:ascii="Calibri" w:eastAsia="Calibri" w:hAnsi="Calibri" w:cs="Calibri"/>
                <w:color w:val="222222"/>
                <w:sz w:val="18"/>
                <w:szCs w:val="18"/>
              </w:rPr>
              <w:t>producteur</w:t>
            </w:r>
            <w:proofErr w:type="spellEnd"/>
            <w:r>
              <w:rPr>
                <w:rFonts w:ascii="Calibri" w:eastAsia="Calibri" w:hAnsi="Calibri" w:cs="Calibri"/>
                <w:color w:val="222222"/>
                <w:sz w:val="18"/>
                <w:szCs w:val="18"/>
              </w:rPr>
              <w:t xml:space="preserve"> / </w:t>
            </w:r>
            <w:proofErr w:type="spellStart"/>
            <w:r>
              <w:rPr>
                <w:rFonts w:ascii="Calibri" w:eastAsia="Calibri" w:hAnsi="Calibri" w:cs="Calibri"/>
                <w:color w:val="222222"/>
                <w:sz w:val="18"/>
                <w:szCs w:val="18"/>
              </w:rPr>
              <w:t>injecteur</w:t>
            </w:r>
            <w:proofErr w:type="spellEnd"/>
          </w:p>
        </w:tc>
      </w:tr>
      <w:tr w:rsidR="008E7E6D" w14:paraId="23A549AD" w14:textId="77777777">
        <w:tblPrEx>
          <w:tblCellMar>
            <w:top w:w="0" w:type="dxa"/>
            <w:bottom w:w="0" w:type="dxa"/>
          </w:tblCellMar>
        </w:tblPrEx>
        <w:tc>
          <w:tcPr>
            <w:tcW w:w="3400" w:type="dxa"/>
            <w:shd w:val="clear" w:color="auto" w:fill="F4F4F2"/>
            <w:tcMar>
              <w:top w:w="80" w:type="dxa"/>
              <w:left w:w="100" w:type="dxa"/>
              <w:bottom w:w="80" w:type="dxa"/>
              <w:right w:w="100" w:type="dxa"/>
            </w:tcMar>
          </w:tcPr>
          <w:p w14:paraId="121625C2" w14:textId="77777777" w:rsidR="008E7E6D" w:rsidRDefault="00000000">
            <w:r>
              <w:rPr>
                <w:rFonts w:ascii="Calibri" w:eastAsia="Calibri" w:hAnsi="Calibri" w:cs="Calibri"/>
                <w:color w:val="222222"/>
                <w:sz w:val="18"/>
                <w:szCs w:val="18"/>
              </w:rPr>
              <w:t xml:space="preserve">Risque </w:t>
            </w:r>
            <w:proofErr w:type="spellStart"/>
            <w:r>
              <w:rPr>
                <w:rFonts w:ascii="Calibri" w:eastAsia="Calibri" w:hAnsi="Calibri" w:cs="Calibri"/>
                <w:color w:val="222222"/>
                <w:sz w:val="18"/>
                <w:szCs w:val="18"/>
              </w:rPr>
              <w:t>géologique</w:t>
            </w:r>
            <w:proofErr w:type="spellEnd"/>
          </w:p>
        </w:tc>
        <w:tc>
          <w:tcPr>
            <w:tcW w:w="2200" w:type="dxa"/>
            <w:shd w:val="clear" w:color="auto" w:fill="F4F4F2"/>
            <w:tcMar>
              <w:top w:w="80" w:type="dxa"/>
              <w:left w:w="100" w:type="dxa"/>
              <w:bottom w:w="80" w:type="dxa"/>
              <w:right w:w="100" w:type="dxa"/>
            </w:tcMar>
          </w:tcPr>
          <w:p w14:paraId="76B3469C" w14:textId="77777777" w:rsidR="008E7E6D" w:rsidRDefault="00000000">
            <w:r>
              <w:rPr>
                <w:rFonts w:ascii="Calibri" w:eastAsia="Calibri" w:hAnsi="Calibri" w:cs="Calibri"/>
                <w:color w:val="222222"/>
                <w:sz w:val="18"/>
                <w:szCs w:val="18"/>
              </w:rPr>
              <w:t>—</w:t>
            </w:r>
          </w:p>
        </w:tc>
        <w:tc>
          <w:tcPr>
            <w:tcW w:w="4400" w:type="dxa"/>
            <w:shd w:val="clear" w:color="auto" w:fill="F4F4F2"/>
            <w:tcMar>
              <w:top w:w="80" w:type="dxa"/>
              <w:left w:w="100" w:type="dxa"/>
              <w:bottom w:w="80" w:type="dxa"/>
              <w:right w:w="100" w:type="dxa"/>
            </w:tcMar>
          </w:tcPr>
          <w:p w14:paraId="56A8C548" w14:textId="77777777" w:rsidR="008E7E6D" w:rsidRDefault="00000000">
            <w:proofErr w:type="spellStart"/>
            <w:r>
              <w:rPr>
                <w:rFonts w:ascii="Calibri" w:eastAsia="Calibri" w:hAnsi="Calibri" w:cs="Calibri"/>
                <w:color w:val="222222"/>
                <w:sz w:val="18"/>
                <w:szCs w:val="18"/>
              </w:rPr>
              <w:t>Productivité</w:t>
            </w:r>
            <w:proofErr w:type="spellEnd"/>
            <w:r>
              <w:rPr>
                <w:rFonts w:ascii="Calibri" w:eastAsia="Calibri" w:hAnsi="Calibri" w:cs="Calibri"/>
                <w:color w:val="222222"/>
                <w:sz w:val="18"/>
                <w:szCs w:val="18"/>
              </w:rPr>
              <w:t xml:space="preserve">, </w:t>
            </w:r>
            <w:proofErr w:type="spellStart"/>
            <w:r>
              <w:rPr>
                <w:rFonts w:ascii="Calibri" w:eastAsia="Calibri" w:hAnsi="Calibri" w:cs="Calibri"/>
                <w:color w:val="222222"/>
                <w:sz w:val="18"/>
                <w:szCs w:val="18"/>
              </w:rPr>
              <w:t>réinjectabilité</w:t>
            </w:r>
            <w:proofErr w:type="spellEnd"/>
            <w:r>
              <w:rPr>
                <w:rFonts w:ascii="Calibri" w:eastAsia="Calibri" w:hAnsi="Calibri" w:cs="Calibri"/>
                <w:color w:val="222222"/>
                <w:sz w:val="18"/>
                <w:szCs w:val="18"/>
              </w:rPr>
              <w:t>, corrosion, scaling</w:t>
            </w:r>
          </w:p>
        </w:tc>
      </w:tr>
      <w:tr w:rsidR="008E7E6D" w:rsidRPr="008308F6" w14:paraId="5F4F5DB9" w14:textId="77777777">
        <w:tblPrEx>
          <w:tblCellMar>
            <w:top w:w="0" w:type="dxa"/>
            <w:bottom w:w="0" w:type="dxa"/>
          </w:tblCellMar>
        </w:tblPrEx>
        <w:tc>
          <w:tcPr>
            <w:tcW w:w="3400" w:type="dxa"/>
            <w:tcMar>
              <w:top w:w="80" w:type="dxa"/>
              <w:left w:w="100" w:type="dxa"/>
              <w:bottom w:w="80" w:type="dxa"/>
              <w:right w:w="100" w:type="dxa"/>
            </w:tcMar>
          </w:tcPr>
          <w:p w14:paraId="1708489E" w14:textId="77777777" w:rsidR="008E7E6D" w:rsidRDefault="00000000">
            <w:r>
              <w:rPr>
                <w:rFonts w:ascii="Calibri" w:eastAsia="Calibri" w:hAnsi="Calibri" w:cs="Calibri"/>
                <w:color w:val="222222"/>
                <w:sz w:val="18"/>
                <w:szCs w:val="18"/>
              </w:rPr>
              <w:t xml:space="preserve">Capex forage </w:t>
            </w:r>
            <w:proofErr w:type="spellStart"/>
            <w:r>
              <w:rPr>
                <w:rFonts w:ascii="Calibri" w:eastAsia="Calibri" w:hAnsi="Calibri" w:cs="Calibri"/>
                <w:color w:val="222222"/>
                <w:sz w:val="18"/>
                <w:szCs w:val="18"/>
              </w:rPr>
              <w:t>unitaire</w:t>
            </w:r>
            <w:proofErr w:type="spellEnd"/>
          </w:p>
        </w:tc>
        <w:tc>
          <w:tcPr>
            <w:tcW w:w="2200" w:type="dxa"/>
            <w:tcMar>
              <w:top w:w="80" w:type="dxa"/>
              <w:left w:w="100" w:type="dxa"/>
              <w:bottom w:w="80" w:type="dxa"/>
              <w:right w:w="100" w:type="dxa"/>
            </w:tcMar>
          </w:tcPr>
          <w:p w14:paraId="33D695EA" w14:textId="77777777" w:rsidR="008E7E6D" w:rsidRDefault="00000000">
            <w:r>
              <w:rPr>
                <w:rFonts w:ascii="Calibri" w:eastAsia="Calibri" w:hAnsi="Calibri" w:cs="Calibri"/>
                <w:color w:val="222222"/>
                <w:sz w:val="18"/>
                <w:szCs w:val="18"/>
              </w:rPr>
              <w:t>€</w:t>
            </w:r>
          </w:p>
        </w:tc>
        <w:tc>
          <w:tcPr>
            <w:tcW w:w="4400" w:type="dxa"/>
            <w:tcMar>
              <w:top w:w="80" w:type="dxa"/>
              <w:left w:w="100" w:type="dxa"/>
              <w:bottom w:w="80" w:type="dxa"/>
              <w:right w:w="100" w:type="dxa"/>
            </w:tcMar>
          </w:tcPr>
          <w:p w14:paraId="4A41F48B" w14:textId="77777777" w:rsidR="008E7E6D" w:rsidRPr="008308F6" w:rsidRDefault="00000000">
            <w:pPr>
              <w:rPr>
                <w:lang w:val="fr-FR"/>
              </w:rPr>
            </w:pPr>
            <w:r w:rsidRPr="008308F6">
              <w:rPr>
                <w:rFonts w:ascii="Calibri" w:eastAsia="Calibri" w:hAnsi="Calibri" w:cs="Calibri"/>
                <w:color w:val="222222"/>
                <w:sz w:val="18"/>
                <w:szCs w:val="18"/>
                <w:lang w:val="fr-FR"/>
              </w:rPr>
              <w:t>Plusieurs M€ ; 2–5 M€+ le doublet selon contexte</w:t>
            </w:r>
          </w:p>
        </w:tc>
      </w:tr>
      <w:tr w:rsidR="008E7E6D" w:rsidRPr="008308F6" w14:paraId="4F771800" w14:textId="77777777">
        <w:tblPrEx>
          <w:tblCellMar>
            <w:top w:w="0" w:type="dxa"/>
            <w:bottom w:w="0" w:type="dxa"/>
          </w:tblCellMar>
        </w:tblPrEx>
        <w:tc>
          <w:tcPr>
            <w:tcW w:w="3400" w:type="dxa"/>
            <w:shd w:val="clear" w:color="auto" w:fill="F4F4F2"/>
            <w:tcMar>
              <w:top w:w="80" w:type="dxa"/>
              <w:left w:w="100" w:type="dxa"/>
              <w:bottom w:w="80" w:type="dxa"/>
              <w:right w:w="100" w:type="dxa"/>
            </w:tcMar>
          </w:tcPr>
          <w:p w14:paraId="02CB6B43" w14:textId="77777777" w:rsidR="008E7E6D" w:rsidRPr="008308F6" w:rsidRDefault="00000000">
            <w:pPr>
              <w:rPr>
                <w:lang w:val="fr-FR"/>
              </w:rPr>
            </w:pPr>
            <w:r w:rsidRPr="008308F6">
              <w:rPr>
                <w:rFonts w:ascii="Calibri" w:eastAsia="Calibri" w:hAnsi="Calibri" w:cs="Calibri"/>
                <w:color w:val="222222"/>
                <w:sz w:val="18"/>
                <w:szCs w:val="18"/>
                <w:lang w:val="fr-FR"/>
              </w:rPr>
              <w:t xml:space="preserve">Mud </w:t>
            </w:r>
            <w:proofErr w:type="spellStart"/>
            <w:r w:rsidRPr="008308F6">
              <w:rPr>
                <w:rFonts w:ascii="Calibri" w:eastAsia="Calibri" w:hAnsi="Calibri" w:cs="Calibri"/>
                <w:color w:val="222222"/>
                <w:sz w:val="18"/>
                <w:szCs w:val="18"/>
                <w:lang w:val="fr-FR"/>
              </w:rPr>
              <w:t>logging</w:t>
            </w:r>
            <w:proofErr w:type="spellEnd"/>
            <w:r w:rsidRPr="008308F6">
              <w:rPr>
                <w:rFonts w:ascii="Calibri" w:eastAsia="Calibri" w:hAnsi="Calibri" w:cs="Calibri"/>
                <w:color w:val="222222"/>
                <w:sz w:val="18"/>
                <w:szCs w:val="18"/>
                <w:lang w:val="fr-FR"/>
              </w:rPr>
              <w:t xml:space="preserve"> / géologie de puits</w:t>
            </w:r>
          </w:p>
        </w:tc>
        <w:tc>
          <w:tcPr>
            <w:tcW w:w="2200" w:type="dxa"/>
            <w:shd w:val="clear" w:color="auto" w:fill="F4F4F2"/>
            <w:tcMar>
              <w:top w:w="80" w:type="dxa"/>
              <w:left w:w="100" w:type="dxa"/>
              <w:bottom w:w="80" w:type="dxa"/>
              <w:right w:w="100" w:type="dxa"/>
            </w:tcMar>
          </w:tcPr>
          <w:p w14:paraId="50DE8FC7" w14:textId="77777777" w:rsidR="008E7E6D" w:rsidRDefault="00000000">
            <w:r>
              <w:rPr>
                <w:rFonts w:ascii="Calibri" w:eastAsia="Calibri" w:hAnsi="Calibri" w:cs="Calibri"/>
                <w:color w:val="222222"/>
                <w:sz w:val="18"/>
                <w:szCs w:val="18"/>
              </w:rPr>
              <w:t>—</w:t>
            </w:r>
          </w:p>
        </w:tc>
        <w:tc>
          <w:tcPr>
            <w:tcW w:w="4400" w:type="dxa"/>
            <w:shd w:val="clear" w:color="auto" w:fill="F4F4F2"/>
            <w:tcMar>
              <w:top w:w="80" w:type="dxa"/>
              <w:left w:w="100" w:type="dxa"/>
              <w:bottom w:w="80" w:type="dxa"/>
              <w:right w:w="100" w:type="dxa"/>
            </w:tcMar>
          </w:tcPr>
          <w:p w14:paraId="053EA61B" w14:textId="77777777" w:rsidR="008E7E6D" w:rsidRPr="008308F6" w:rsidRDefault="00000000">
            <w:pPr>
              <w:rPr>
                <w:lang w:val="fr-FR"/>
              </w:rPr>
            </w:pPr>
            <w:r w:rsidRPr="008308F6">
              <w:rPr>
                <w:rFonts w:ascii="Calibri" w:eastAsia="Calibri" w:hAnsi="Calibri" w:cs="Calibri"/>
                <w:color w:val="222222"/>
                <w:sz w:val="18"/>
                <w:szCs w:val="18"/>
                <w:lang w:val="fr-FR"/>
              </w:rPr>
              <w:t>Indispensable ; pas un luxe ISO</w:t>
            </w:r>
          </w:p>
        </w:tc>
      </w:tr>
      <w:tr w:rsidR="008E7E6D" w:rsidRPr="008308F6" w14:paraId="4056D410" w14:textId="77777777">
        <w:tblPrEx>
          <w:tblCellMar>
            <w:top w:w="0" w:type="dxa"/>
            <w:bottom w:w="0" w:type="dxa"/>
          </w:tblCellMar>
        </w:tblPrEx>
        <w:tc>
          <w:tcPr>
            <w:tcW w:w="3400" w:type="dxa"/>
            <w:tcMar>
              <w:top w:w="80" w:type="dxa"/>
              <w:left w:w="100" w:type="dxa"/>
              <w:bottom w:w="80" w:type="dxa"/>
              <w:right w:w="100" w:type="dxa"/>
            </w:tcMar>
          </w:tcPr>
          <w:p w14:paraId="26E088B3" w14:textId="77777777" w:rsidR="008E7E6D" w:rsidRDefault="00000000">
            <w:r>
              <w:rPr>
                <w:rFonts w:ascii="Calibri" w:eastAsia="Calibri" w:hAnsi="Calibri" w:cs="Calibri"/>
                <w:color w:val="222222"/>
                <w:sz w:val="18"/>
                <w:szCs w:val="18"/>
              </w:rPr>
              <w:t xml:space="preserve">Durée cycle </w:t>
            </w:r>
            <w:proofErr w:type="spellStart"/>
            <w:r>
              <w:rPr>
                <w:rFonts w:ascii="Calibri" w:eastAsia="Calibri" w:hAnsi="Calibri" w:cs="Calibri"/>
                <w:color w:val="222222"/>
                <w:sz w:val="18"/>
                <w:szCs w:val="18"/>
              </w:rPr>
              <w:t>administratif</w:t>
            </w:r>
            <w:proofErr w:type="spellEnd"/>
          </w:p>
        </w:tc>
        <w:tc>
          <w:tcPr>
            <w:tcW w:w="2200" w:type="dxa"/>
            <w:tcMar>
              <w:top w:w="80" w:type="dxa"/>
              <w:left w:w="100" w:type="dxa"/>
              <w:bottom w:w="80" w:type="dxa"/>
              <w:right w:w="100" w:type="dxa"/>
            </w:tcMar>
          </w:tcPr>
          <w:p w14:paraId="0EE9068F" w14:textId="77777777" w:rsidR="008E7E6D" w:rsidRDefault="00000000">
            <w:proofErr w:type="spellStart"/>
            <w:r>
              <w:rPr>
                <w:rFonts w:ascii="Calibri" w:eastAsia="Calibri" w:hAnsi="Calibri" w:cs="Calibri"/>
                <w:color w:val="222222"/>
                <w:sz w:val="18"/>
                <w:szCs w:val="18"/>
              </w:rPr>
              <w:t>mois</w:t>
            </w:r>
            <w:proofErr w:type="spellEnd"/>
          </w:p>
        </w:tc>
        <w:tc>
          <w:tcPr>
            <w:tcW w:w="4400" w:type="dxa"/>
            <w:tcMar>
              <w:top w:w="80" w:type="dxa"/>
              <w:left w:w="100" w:type="dxa"/>
              <w:bottom w:w="80" w:type="dxa"/>
              <w:right w:w="100" w:type="dxa"/>
            </w:tcMar>
          </w:tcPr>
          <w:p w14:paraId="1CAD5306" w14:textId="77777777" w:rsidR="008E7E6D" w:rsidRPr="008308F6" w:rsidRDefault="00000000">
            <w:pPr>
              <w:rPr>
                <w:lang w:val="fr-FR"/>
              </w:rPr>
            </w:pPr>
            <w:r w:rsidRPr="008308F6">
              <w:rPr>
                <w:rFonts w:ascii="Calibri" w:eastAsia="Calibri" w:hAnsi="Calibri" w:cs="Calibri"/>
                <w:color w:val="222222"/>
                <w:sz w:val="18"/>
                <w:szCs w:val="18"/>
                <w:lang w:val="fr-FR"/>
              </w:rPr>
              <w:t>Souvent &gt; cycle industriel d'une PME</w:t>
            </w:r>
          </w:p>
        </w:tc>
      </w:tr>
    </w:tbl>
    <w:p w14:paraId="5E123D35" w14:textId="77777777" w:rsidR="008E7E6D" w:rsidRPr="008308F6" w:rsidRDefault="00000000">
      <w:pPr>
        <w:spacing w:before="260" w:after="120"/>
        <w:rPr>
          <w:lang w:val="fr-FR"/>
        </w:rPr>
      </w:pPr>
      <w:proofErr w:type="gramStart"/>
      <w:r w:rsidRPr="008308F6">
        <w:rPr>
          <w:rFonts w:ascii="Calibri" w:eastAsia="Calibri" w:hAnsi="Calibri" w:cs="Calibri"/>
          <w:b/>
          <w:bCs/>
          <w:color w:val="1F6F5C"/>
          <w:sz w:val="24"/>
          <w:szCs w:val="24"/>
          <w:lang w:val="fr-FR"/>
        </w:rPr>
        <w:lastRenderedPageBreak/>
        <w:t>4.3  Cadence</w:t>
      </w:r>
      <w:proofErr w:type="gramEnd"/>
      <w:r w:rsidRPr="008308F6">
        <w:rPr>
          <w:rFonts w:ascii="Calibri" w:eastAsia="Calibri" w:hAnsi="Calibri" w:cs="Calibri"/>
          <w:b/>
          <w:bCs/>
          <w:color w:val="1F6F5C"/>
          <w:sz w:val="24"/>
          <w:szCs w:val="24"/>
          <w:lang w:val="fr-FR"/>
        </w:rPr>
        <w:t xml:space="preserve"> — la variable qui fixe le prix</w:t>
      </w:r>
    </w:p>
    <w:p w14:paraId="7CC2FA75" w14:textId="77777777" w:rsidR="008E7E6D" w:rsidRPr="008308F6" w:rsidRDefault="00000000">
      <w:pPr>
        <w:spacing w:after="160" w:line="276" w:lineRule="auto"/>
        <w:jc w:val="both"/>
        <w:rPr>
          <w:lang w:val="fr-FR"/>
        </w:rPr>
      </w:pPr>
      <w:r w:rsidRPr="008308F6">
        <w:rPr>
          <w:rFonts w:ascii="Calibri" w:eastAsia="Calibri" w:hAnsi="Calibri" w:cs="Calibri"/>
          <w:color w:val="222222"/>
          <w:sz w:val="21"/>
          <w:szCs w:val="21"/>
          <w:lang w:val="fr-FR"/>
        </w:rPr>
        <w:t xml:space="preserve">Références de forage pétrolier que la filière géothermique française n'a pas encore importées comme norme de production : Oman PDO, 300 à 500 puits/an ; Australie, appareils automatisés sur commandes fermes 24 mois. En France géothermie, on reste en régime de chantier isolé, équipes nomades, 100 heures et plus par mois, hébergement précaire, métiers de base (aide-foreur, accrocheur, </w:t>
      </w:r>
      <w:proofErr w:type="spellStart"/>
      <w:r w:rsidRPr="008308F6">
        <w:rPr>
          <w:rFonts w:ascii="Calibri" w:eastAsia="Calibri" w:hAnsi="Calibri" w:cs="Calibri"/>
          <w:color w:val="222222"/>
          <w:sz w:val="21"/>
          <w:szCs w:val="21"/>
          <w:lang w:val="fr-FR"/>
        </w:rPr>
        <w:t>surfacier</w:t>
      </w:r>
      <w:proofErr w:type="spellEnd"/>
      <w:r w:rsidRPr="008308F6">
        <w:rPr>
          <w:rFonts w:ascii="Calibri" w:eastAsia="Calibri" w:hAnsi="Calibri" w:cs="Calibri"/>
          <w:color w:val="222222"/>
          <w:sz w:val="21"/>
          <w:szCs w:val="21"/>
          <w:lang w:val="fr-FR"/>
        </w:rPr>
        <w:t xml:space="preserve">, technicien boue, </w:t>
      </w:r>
      <w:proofErr w:type="spellStart"/>
      <w:r w:rsidRPr="008308F6">
        <w:rPr>
          <w:rFonts w:ascii="Calibri" w:eastAsia="Calibri" w:hAnsi="Calibri" w:cs="Calibri"/>
          <w:color w:val="222222"/>
          <w:sz w:val="21"/>
          <w:szCs w:val="21"/>
          <w:lang w:val="fr-FR"/>
        </w:rPr>
        <w:t>mud</w:t>
      </w:r>
      <w:proofErr w:type="spellEnd"/>
      <w:r w:rsidRPr="008308F6">
        <w:rPr>
          <w:rFonts w:ascii="Calibri" w:eastAsia="Calibri" w:hAnsi="Calibri" w:cs="Calibri"/>
          <w:color w:val="222222"/>
          <w:sz w:val="21"/>
          <w:szCs w:val="21"/>
          <w:lang w:val="fr-FR"/>
        </w:rPr>
        <w:t xml:space="preserve"> logger, géologue de terrain, foreur) non revalorisés. Résultat mécanique : le coût au mètre intègre le temps mort, le turn-over et l'absence d'apprentissage cumulatif (</w:t>
      </w:r>
      <w:proofErr w:type="spellStart"/>
      <w:r w:rsidRPr="008308F6">
        <w:rPr>
          <w:rFonts w:ascii="Calibri" w:eastAsia="Calibri" w:hAnsi="Calibri" w:cs="Calibri"/>
          <w:color w:val="222222"/>
          <w:sz w:val="21"/>
          <w:szCs w:val="21"/>
          <w:lang w:val="fr-FR"/>
        </w:rPr>
        <w:t>learning</w:t>
      </w:r>
      <w:proofErr w:type="spellEnd"/>
      <w:r w:rsidRPr="008308F6">
        <w:rPr>
          <w:rFonts w:ascii="Calibri" w:eastAsia="Calibri" w:hAnsi="Calibri" w:cs="Calibri"/>
          <w:color w:val="222222"/>
          <w:sz w:val="21"/>
          <w:szCs w:val="21"/>
          <w:lang w:val="fr-FR"/>
        </w:rPr>
        <w:t xml:space="preserve"> </w:t>
      </w:r>
      <w:proofErr w:type="spellStart"/>
      <w:r w:rsidRPr="008308F6">
        <w:rPr>
          <w:rFonts w:ascii="Calibri" w:eastAsia="Calibri" w:hAnsi="Calibri" w:cs="Calibri"/>
          <w:color w:val="222222"/>
          <w:sz w:val="21"/>
          <w:szCs w:val="21"/>
          <w:lang w:val="fr-FR"/>
        </w:rPr>
        <w:t>curve</w:t>
      </w:r>
      <w:proofErr w:type="spellEnd"/>
      <w:r w:rsidRPr="008308F6">
        <w:rPr>
          <w:rFonts w:ascii="Calibri" w:eastAsia="Calibri" w:hAnsi="Calibri" w:cs="Calibri"/>
          <w:color w:val="222222"/>
          <w:sz w:val="21"/>
          <w:szCs w:val="21"/>
          <w:lang w:val="fr-FR"/>
        </w:rPr>
        <w:t>).</w:t>
      </w:r>
    </w:p>
    <w:p w14:paraId="5F0F6365" w14:textId="77777777" w:rsidR="008E7E6D" w:rsidRPr="008308F6" w:rsidRDefault="00000000">
      <w:pPr>
        <w:spacing w:after="160" w:line="276" w:lineRule="auto"/>
        <w:jc w:val="both"/>
        <w:rPr>
          <w:lang w:val="fr-FR"/>
        </w:rPr>
      </w:pPr>
      <w:r w:rsidRPr="008308F6">
        <w:rPr>
          <w:rFonts w:ascii="Calibri" w:eastAsia="Calibri" w:hAnsi="Calibri" w:cs="Calibri"/>
          <w:color w:val="222222"/>
          <w:sz w:val="21"/>
          <w:szCs w:val="21"/>
          <w:lang w:val="fr-FR"/>
        </w:rPr>
        <w:t>Une massification européenne — carnets de commandes pluriannuels, SOP uniques, revues de dossiers en heures et non en mois — est le seul moyen de faire descendre c (€/ml) tout en montant la qualité. C'est aussi le seul moyen d'amortir une école de forage : une promotion n'est rentable que si les mètres forés ensuite existent vraiment.</w:t>
      </w:r>
    </w:p>
    <w:p w14:paraId="6C65147F" w14:textId="77777777" w:rsidR="008E7E6D" w:rsidRPr="008308F6" w:rsidRDefault="00000000">
      <w:pPr>
        <w:spacing w:after="160" w:line="276" w:lineRule="auto"/>
        <w:jc w:val="both"/>
        <w:rPr>
          <w:lang w:val="fr-FR"/>
        </w:rPr>
      </w:pPr>
      <w:r w:rsidRPr="008308F6">
        <w:rPr>
          <w:rFonts w:ascii="Calibri" w:eastAsia="Calibri" w:hAnsi="Calibri" w:cs="Calibri"/>
          <w:color w:val="222222"/>
          <w:sz w:val="21"/>
          <w:szCs w:val="21"/>
          <w:lang w:val="fr-FR"/>
        </w:rPr>
        <w:t>Ces références de cadence pétrolière restent un horizon utile pour calibrer un objectif de moyen terme ; elles ne sont pas, en l'état du débit d'instruction français, un objectif de court terme. Le projet Adaptation (§5) précise comment phaser la montée en cadence sans reproduire l'écart entre discours et réalité déjà payé par Celsius Energy — et sans attendre, pour le corriger, qu'un scandale l'impose (§6.5).</w:t>
      </w:r>
    </w:p>
    <w:p w14:paraId="7CD0412C" w14:textId="77777777" w:rsidR="008E7E6D" w:rsidRPr="008308F6" w:rsidRDefault="00000000">
      <w:pPr>
        <w:pStyle w:val="Heading1"/>
        <w:pBdr>
          <w:bottom w:val="single" w:sz="6" w:space="4" w:color="1B3A54"/>
        </w:pBdr>
        <w:spacing w:before="420" w:after="200"/>
        <w:rPr>
          <w:lang w:val="fr-FR"/>
        </w:rPr>
      </w:pPr>
      <w:bookmarkStart w:id="4" w:name="_Toc240015682"/>
      <w:r w:rsidRPr="008308F6">
        <w:rPr>
          <w:rFonts w:ascii="Calibri" w:eastAsia="Calibri" w:hAnsi="Calibri" w:cs="Calibri"/>
          <w:b/>
          <w:bCs/>
          <w:color w:val="1B3A54"/>
          <w:sz w:val="30"/>
          <w:szCs w:val="30"/>
          <w:lang w:val="fr-FR"/>
        </w:rPr>
        <w:t>5.  Projet Adaptation — de la cadence théorique à la cadence instruisable</w:t>
      </w:r>
      <w:bookmarkEnd w:id="4"/>
    </w:p>
    <w:p w14:paraId="5C612A8C" w14:textId="77777777" w:rsidR="008E7E6D" w:rsidRPr="008308F6" w:rsidRDefault="00000000">
      <w:pPr>
        <w:spacing w:before="260" w:after="120"/>
        <w:rPr>
          <w:lang w:val="fr-FR"/>
        </w:rPr>
      </w:pPr>
      <w:proofErr w:type="gramStart"/>
      <w:r w:rsidRPr="008308F6">
        <w:rPr>
          <w:rFonts w:ascii="Calibri" w:eastAsia="Calibri" w:hAnsi="Calibri" w:cs="Calibri"/>
          <w:b/>
          <w:bCs/>
          <w:color w:val="1F6F5C"/>
          <w:sz w:val="24"/>
          <w:szCs w:val="24"/>
          <w:lang w:val="fr-FR"/>
        </w:rPr>
        <w:t>5.1  Pourquoi</w:t>
      </w:r>
      <w:proofErr w:type="gramEnd"/>
      <w:r w:rsidRPr="008308F6">
        <w:rPr>
          <w:rFonts w:ascii="Calibri" w:eastAsia="Calibri" w:hAnsi="Calibri" w:cs="Calibri"/>
          <w:b/>
          <w:bCs/>
          <w:color w:val="1F6F5C"/>
          <w:sz w:val="24"/>
          <w:szCs w:val="24"/>
          <w:lang w:val="fr-FR"/>
        </w:rPr>
        <w:t xml:space="preserve"> l'adaptation précède la massification</w:t>
      </w:r>
    </w:p>
    <w:p w14:paraId="16AA168D" w14:textId="77777777" w:rsidR="008E7E6D" w:rsidRPr="008308F6" w:rsidRDefault="00000000">
      <w:pPr>
        <w:spacing w:after="160" w:line="276" w:lineRule="auto"/>
        <w:jc w:val="both"/>
        <w:rPr>
          <w:lang w:val="fr-FR"/>
        </w:rPr>
      </w:pPr>
      <w:r w:rsidRPr="008308F6">
        <w:rPr>
          <w:rFonts w:ascii="Calibri" w:eastAsia="Calibri" w:hAnsi="Calibri" w:cs="Calibri"/>
          <w:color w:val="222222"/>
          <w:sz w:val="21"/>
          <w:szCs w:val="21"/>
          <w:lang w:val="fr-FR"/>
        </w:rPr>
        <w:t>Comparer directement la France à Oman ou à l'Australie a une limite qu'il faut nommer : PDO est un opérateur national unique, intégré, qui maîtrise à la fois le foncier, le sous-sol et l'instruction de ses propres programmes de forage. La filière géothermique française, elle, additionne une multitude de maîtres d'ouvrage, de bureaux d'études et d'entreprises de forage, chacun devant obtenir séparément l'aval de plusieurs autorités (DREAL ou DRIEAT selon la région, ADEME, préfecture), sans guichet unique ni délai encadré. Le nombre de dossiers déposés reste faible, et la part effectivement approuvée dans un délai compatible avec un calendrier industriel l'est plus encore. Se fixer 300 à 500 forages par an comme objectif de filière, sans avoir d'abord réglé ce débit, revient à annoncer une cadence que l'administration elle-même ne peut pas absorber — et à répéter, à l'échelle du pays, l'écart entre ambition affichée et réalité d'exécution que Celsius Energy a déjà payé cash à l'échelle d'une entreprise (§2).</w:t>
      </w:r>
    </w:p>
    <w:p w14:paraId="162FE2F6" w14:textId="77777777" w:rsidR="008E7E6D" w:rsidRPr="008308F6" w:rsidRDefault="00000000">
      <w:pPr>
        <w:spacing w:before="260" w:after="120"/>
        <w:rPr>
          <w:lang w:val="fr-FR"/>
        </w:rPr>
      </w:pPr>
      <w:proofErr w:type="gramStart"/>
      <w:r w:rsidRPr="008308F6">
        <w:rPr>
          <w:rFonts w:ascii="Calibri" w:eastAsia="Calibri" w:hAnsi="Calibri" w:cs="Calibri"/>
          <w:b/>
          <w:bCs/>
          <w:color w:val="1F6F5C"/>
          <w:sz w:val="24"/>
          <w:szCs w:val="24"/>
          <w:lang w:val="fr-FR"/>
        </w:rPr>
        <w:t>5.2  Le</w:t>
      </w:r>
      <w:proofErr w:type="gramEnd"/>
      <w:r w:rsidRPr="008308F6">
        <w:rPr>
          <w:rFonts w:ascii="Calibri" w:eastAsia="Calibri" w:hAnsi="Calibri" w:cs="Calibri"/>
          <w:b/>
          <w:bCs/>
          <w:color w:val="1F6F5C"/>
          <w:sz w:val="24"/>
          <w:szCs w:val="24"/>
          <w:lang w:val="fr-FR"/>
        </w:rPr>
        <w:t xml:space="preserve"> débit d'instruction comme variable de pilotage</w:t>
      </w:r>
    </w:p>
    <w:p w14:paraId="4622B2A3" w14:textId="77777777" w:rsidR="008E7E6D" w:rsidRPr="008308F6" w:rsidRDefault="00000000">
      <w:pPr>
        <w:spacing w:after="160" w:line="276" w:lineRule="auto"/>
        <w:jc w:val="both"/>
        <w:rPr>
          <w:lang w:val="fr-FR"/>
        </w:rPr>
      </w:pPr>
      <w:r w:rsidRPr="008308F6">
        <w:rPr>
          <w:rFonts w:ascii="Calibri" w:eastAsia="Calibri" w:hAnsi="Calibri" w:cs="Calibri"/>
          <w:color w:val="222222"/>
          <w:sz w:val="21"/>
          <w:szCs w:val="21"/>
          <w:lang w:val="fr-FR"/>
        </w:rPr>
        <w:t>Le Formulaire du foreur traite le coût au mètre (c, €/ml) comme la variable qui fixe le prix (§4.3). L'adaptation propose de traiter, à côté d'elle, le débit d'instruction — le nombre de dossiers réellement approuvés par mois et par autorité instructrice — comme une variable de pilotage à part entière, suivie et publiée au même titre. Cette variable n'est aujourd'hui documentée par aucun tableau de bord public connu de l'auteur ; elle se déduit, au mieux, des délais moyens rapportés au cas par cas par les porteurs de projet. La rendre visible est la première étape d'une politique d'adaptation : on ne pilote pas ce qu'on ne mesure pas, et un débit d'instruction publié devient, pour l'administration elle-même, un objectif de performance au même titre qu'un objectif de TWh installés.</w:t>
      </w:r>
    </w:p>
    <w:p w14:paraId="3C2BE4B1" w14:textId="77777777" w:rsidR="008E7E6D" w:rsidRPr="008308F6" w:rsidRDefault="00000000">
      <w:pPr>
        <w:spacing w:before="260" w:after="120"/>
        <w:rPr>
          <w:lang w:val="fr-FR"/>
        </w:rPr>
      </w:pPr>
      <w:proofErr w:type="gramStart"/>
      <w:r w:rsidRPr="008308F6">
        <w:rPr>
          <w:rFonts w:ascii="Calibri" w:eastAsia="Calibri" w:hAnsi="Calibri" w:cs="Calibri"/>
          <w:b/>
          <w:bCs/>
          <w:color w:val="1F6F5C"/>
          <w:sz w:val="24"/>
          <w:szCs w:val="24"/>
          <w:lang w:val="fr-FR"/>
        </w:rPr>
        <w:t>5.3  Un</w:t>
      </w:r>
      <w:proofErr w:type="gramEnd"/>
      <w:r w:rsidRPr="008308F6">
        <w:rPr>
          <w:rFonts w:ascii="Calibri" w:eastAsia="Calibri" w:hAnsi="Calibri" w:cs="Calibri"/>
          <w:b/>
          <w:bCs/>
          <w:color w:val="1F6F5C"/>
          <w:sz w:val="24"/>
          <w:szCs w:val="24"/>
          <w:lang w:val="fr-FR"/>
        </w:rPr>
        <w:t xml:space="preserve"> protocole opérationnel simple, non punitif, conditionnant les aides</w:t>
      </w:r>
    </w:p>
    <w:p w14:paraId="7AF12D18" w14:textId="77777777" w:rsidR="008E7E6D" w:rsidRPr="008308F6" w:rsidRDefault="00000000">
      <w:pPr>
        <w:spacing w:after="160" w:line="276" w:lineRule="auto"/>
        <w:jc w:val="both"/>
        <w:rPr>
          <w:lang w:val="fr-FR"/>
        </w:rPr>
      </w:pPr>
      <w:r w:rsidRPr="008308F6">
        <w:rPr>
          <w:rFonts w:ascii="Calibri" w:eastAsia="Calibri" w:hAnsi="Calibri" w:cs="Calibri"/>
          <w:color w:val="222222"/>
          <w:sz w:val="21"/>
          <w:szCs w:val="21"/>
          <w:lang w:val="fr-FR"/>
        </w:rPr>
        <w:t xml:space="preserve">L'expérience de terrain rassemblée en §6 converge vers une recommandation unique, déjà formulée aux autorités compétentes (§6.5) : plutôt qu'une couche de conformité ISO supplémentaire, chaque entreprise de la chaîne contractuelle — du maître d'œuvre jusqu'au dernier opérateur de chantier — devrait afficher et suivre un plan d'amélioration continue simple, construit sur le standard opérationnel de forage déjà utilisé par l'industrie pétrolière (référentiel API, une quarantaine de critères), plutôt que sur une transposition ISO alourdie. L'audit </w:t>
      </w:r>
      <w:r w:rsidRPr="008308F6">
        <w:rPr>
          <w:rFonts w:ascii="Calibri" w:eastAsia="Calibri" w:hAnsi="Calibri" w:cs="Calibri"/>
          <w:color w:val="222222"/>
          <w:sz w:val="21"/>
          <w:szCs w:val="21"/>
          <w:lang w:val="fr-FR"/>
        </w:rPr>
        <w:lastRenderedPageBreak/>
        <w:t>correspondant partirait du plan du maître d'œuvre et descendrait la chaîne de sous-traitance, conduit par une autorité réellement indépendante de la filière. La conditionnalité proposée n'est pas une sanction : elle réserve le bénéfice des aides ADEME et des autres soutiens publics aux opérateurs qui acceptent d'afficher ce plan et de le suivre. Sans ce levier, la recommandation reste facultative face à des pratiques déjà installées.</w:t>
      </w:r>
    </w:p>
    <w:p w14:paraId="115BE6E9" w14:textId="77777777" w:rsidR="008E7E6D" w:rsidRPr="008308F6" w:rsidRDefault="00000000">
      <w:pPr>
        <w:spacing w:before="260" w:after="120"/>
        <w:rPr>
          <w:lang w:val="fr-FR"/>
        </w:rPr>
      </w:pPr>
      <w:proofErr w:type="gramStart"/>
      <w:r w:rsidRPr="008308F6">
        <w:rPr>
          <w:rFonts w:ascii="Calibri" w:eastAsia="Calibri" w:hAnsi="Calibri" w:cs="Calibri"/>
          <w:b/>
          <w:bCs/>
          <w:color w:val="1F6F5C"/>
          <w:sz w:val="24"/>
          <w:szCs w:val="24"/>
          <w:lang w:val="fr-FR"/>
        </w:rPr>
        <w:t>5.4  Une</w:t>
      </w:r>
      <w:proofErr w:type="gramEnd"/>
      <w:r w:rsidRPr="008308F6">
        <w:rPr>
          <w:rFonts w:ascii="Calibri" w:eastAsia="Calibri" w:hAnsi="Calibri" w:cs="Calibri"/>
          <w:b/>
          <w:bCs/>
          <w:color w:val="1F6F5C"/>
          <w:sz w:val="24"/>
          <w:szCs w:val="24"/>
          <w:lang w:val="fr-FR"/>
        </w:rPr>
        <w:t xml:space="preserve"> preuve de concept sur la vitesse de revue</w:t>
      </w:r>
    </w:p>
    <w:p w14:paraId="0DB62F6C" w14:textId="77777777" w:rsidR="008E7E6D" w:rsidRPr="008308F6" w:rsidRDefault="00000000">
      <w:pPr>
        <w:spacing w:after="160" w:line="276" w:lineRule="auto"/>
        <w:jc w:val="both"/>
        <w:rPr>
          <w:lang w:val="fr-FR"/>
        </w:rPr>
      </w:pPr>
      <w:r w:rsidRPr="008308F6">
        <w:rPr>
          <w:rFonts w:ascii="Calibri" w:eastAsia="Calibri" w:hAnsi="Calibri" w:cs="Calibri"/>
          <w:color w:val="222222"/>
          <w:sz w:val="21"/>
          <w:szCs w:val="21"/>
          <w:lang w:val="fr-FR"/>
        </w:rPr>
        <w:t>Une revue complète des archives d'un dossier de géothermie profonde, conduite par une personne disposant d'une expérience opérationnelle réelle de chantier, a été menée en quatre heures dans le cadre du retour d'expérience transmis aux autorités compétentes (§6.5), contre un délai d'instruction courant de l'ordre de dix-huit mois pour ce type de dossier. Cette revue a fait apparaître des certifications obsolètes reproduites d'un dossier à l'autre par simple copier-coller, sans vérification de fond. L'écart entre ces deux durées — quatre heures contre dix-huit mois — n'est pas un écart de complexité technique ; c'est un écart de méthode. Un examinateur qui combine compétence administrative et passage sur chantier détecte en heures ce qu'une revue purement documentaire ne détecte pas en mois. C'est cette méthode, généralisée, que le projet Adaptation propose de faire porter la montée en cadence — avant, et non après, l'annonce d'objectifs de type Oman.</w:t>
      </w:r>
    </w:p>
    <w:p w14:paraId="2145ED3F" w14:textId="77777777" w:rsidR="008E7E6D" w:rsidRPr="008308F6" w:rsidRDefault="00000000">
      <w:pPr>
        <w:pStyle w:val="Heading1"/>
        <w:pBdr>
          <w:bottom w:val="single" w:sz="6" w:space="4" w:color="1B3A54"/>
        </w:pBdr>
        <w:spacing w:before="420" w:after="200"/>
        <w:rPr>
          <w:lang w:val="fr-FR"/>
        </w:rPr>
      </w:pPr>
      <w:bookmarkStart w:id="5" w:name="_Toc240015683"/>
      <w:r w:rsidRPr="008308F6">
        <w:rPr>
          <w:rFonts w:ascii="Calibri" w:eastAsia="Calibri" w:hAnsi="Calibri" w:cs="Calibri"/>
          <w:b/>
          <w:bCs/>
          <w:color w:val="1B3A54"/>
          <w:sz w:val="30"/>
          <w:szCs w:val="30"/>
          <w:lang w:val="fr-FR"/>
        </w:rPr>
        <w:t>6.  État de l'art — pertinence économique du forage profond et retour d'expérience de terrain</w:t>
      </w:r>
      <w:bookmarkEnd w:id="5"/>
    </w:p>
    <w:p w14:paraId="12AB4768" w14:textId="77777777" w:rsidR="008E7E6D" w:rsidRPr="008308F6" w:rsidRDefault="00000000">
      <w:pPr>
        <w:spacing w:before="260" w:after="120"/>
        <w:rPr>
          <w:lang w:val="fr-FR"/>
        </w:rPr>
      </w:pPr>
      <w:proofErr w:type="gramStart"/>
      <w:r w:rsidRPr="008308F6">
        <w:rPr>
          <w:rFonts w:ascii="Calibri" w:eastAsia="Calibri" w:hAnsi="Calibri" w:cs="Calibri"/>
          <w:b/>
          <w:bCs/>
          <w:color w:val="1F6F5C"/>
          <w:sz w:val="24"/>
          <w:szCs w:val="24"/>
          <w:lang w:val="fr-FR"/>
        </w:rPr>
        <w:t>6.1  Ce</w:t>
      </w:r>
      <w:proofErr w:type="gramEnd"/>
      <w:r w:rsidRPr="008308F6">
        <w:rPr>
          <w:rFonts w:ascii="Calibri" w:eastAsia="Calibri" w:hAnsi="Calibri" w:cs="Calibri"/>
          <w:b/>
          <w:bCs/>
          <w:color w:val="1F6F5C"/>
          <w:sz w:val="24"/>
          <w:szCs w:val="24"/>
          <w:lang w:val="fr-FR"/>
        </w:rPr>
        <w:t xml:space="preserve"> que l'état de l'art économique retenait déjà</w:t>
      </w:r>
    </w:p>
    <w:p w14:paraId="4FDF1920" w14:textId="77777777" w:rsidR="008E7E6D" w:rsidRPr="008308F6" w:rsidRDefault="00000000">
      <w:pPr>
        <w:spacing w:after="160" w:line="276" w:lineRule="auto"/>
        <w:jc w:val="both"/>
        <w:rPr>
          <w:lang w:val="fr-FR"/>
        </w:rPr>
      </w:pPr>
      <w:r w:rsidRPr="008308F6">
        <w:rPr>
          <w:rFonts w:ascii="Calibri" w:eastAsia="Calibri" w:hAnsi="Calibri" w:cs="Calibri"/>
          <w:color w:val="222222"/>
          <w:sz w:val="21"/>
          <w:szCs w:val="21"/>
          <w:lang w:val="fr-FR"/>
        </w:rPr>
        <w:t xml:space="preserve">Sur un doublet profond, le forage concentre la quasi-totalité du risque géologique et une part majoritaire du capex (§3.2). La littérature de filière (AFPG, Cour des comptes janvier 2026, EGEC, Ember Energy) documente un temps de retour de 7 à 13 ans quand le réservoir répond, et un LCOE déjà compétitif pour l'EGS dans les meilleurs cas (~60 $/MWh). Cette note ajoute à cet état de l'art une ligne que les modèles de </w:t>
      </w:r>
      <w:proofErr w:type="spellStart"/>
      <w:r w:rsidRPr="008308F6">
        <w:rPr>
          <w:rFonts w:ascii="Calibri" w:eastAsia="Calibri" w:hAnsi="Calibri" w:cs="Calibri"/>
          <w:color w:val="222222"/>
          <w:sz w:val="21"/>
          <w:szCs w:val="21"/>
          <w:lang w:val="fr-FR"/>
        </w:rPr>
        <w:t>payback</w:t>
      </w:r>
      <w:proofErr w:type="spellEnd"/>
      <w:r w:rsidRPr="008308F6">
        <w:rPr>
          <w:rFonts w:ascii="Calibri" w:eastAsia="Calibri" w:hAnsi="Calibri" w:cs="Calibri"/>
          <w:color w:val="222222"/>
          <w:sz w:val="21"/>
          <w:szCs w:val="21"/>
          <w:lang w:val="fr-FR"/>
        </w:rPr>
        <w:t xml:space="preserve"> usuels omettent : le coût du délai d'instruction lui-même.</w:t>
      </w:r>
    </w:p>
    <w:p w14:paraId="3CD3D13E" w14:textId="77777777" w:rsidR="008E7E6D" w:rsidRPr="008308F6" w:rsidRDefault="00000000">
      <w:pPr>
        <w:spacing w:before="260" w:after="120"/>
        <w:rPr>
          <w:lang w:val="fr-FR"/>
        </w:rPr>
      </w:pPr>
      <w:proofErr w:type="gramStart"/>
      <w:r w:rsidRPr="008308F6">
        <w:rPr>
          <w:rFonts w:ascii="Calibri" w:eastAsia="Calibri" w:hAnsi="Calibri" w:cs="Calibri"/>
          <w:b/>
          <w:bCs/>
          <w:color w:val="1F6F5C"/>
          <w:sz w:val="24"/>
          <w:szCs w:val="24"/>
          <w:lang w:val="fr-FR"/>
        </w:rPr>
        <w:t>6.2  Le</w:t>
      </w:r>
      <w:proofErr w:type="gramEnd"/>
      <w:r w:rsidRPr="008308F6">
        <w:rPr>
          <w:rFonts w:ascii="Calibri" w:eastAsia="Calibri" w:hAnsi="Calibri" w:cs="Calibri"/>
          <w:b/>
          <w:bCs/>
          <w:color w:val="1F6F5C"/>
          <w:sz w:val="24"/>
          <w:szCs w:val="24"/>
          <w:lang w:val="fr-FR"/>
        </w:rPr>
        <w:t xml:space="preserve"> coût économique du délai d'instruction</w:t>
      </w:r>
    </w:p>
    <w:p w14:paraId="250F1197" w14:textId="77777777" w:rsidR="008E7E6D" w:rsidRPr="008308F6" w:rsidRDefault="00000000">
      <w:pPr>
        <w:spacing w:after="160" w:line="276" w:lineRule="auto"/>
        <w:jc w:val="both"/>
        <w:rPr>
          <w:lang w:val="fr-FR"/>
        </w:rPr>
      </w:pPr>
      <w:r w:rsidRPr="008308F6">
        <w:rPr>
          <w:rFonts w:ascii="Calibri" w:eastAsia="Calibri" w:hAnsi="Calibri" w:cs="Calibri"/>
          <w:color w:val="222222"/>
          <w:sz w:val="21"/>
          <w:szCs w:val="21"/>
          <w:lang w:val="fr-FR"/>
        </w:rPr>
        <w:t xml:space="preserve">Un capex forage immobilisé pendant dix-huit mois d'instruction porte un coût de portage — intérêts intercalaires, inflation des postes matériel et main-d'œuvre, prime de risque additionnelle exigée par le prêteur — qui n'apparaît dans aucune des bornes de </w:t>
      </w:r>
      <w:proofErr w:type="spellStart"/>
      <w:r w:rsidRPr="008308F6">
        <w:rPr>
          <w:rFonts w:ascii="Calibri" w:eastAsia="Calibri" w:hAnsi="Calibri" w:cs="Calibri"/>
          <w:color w:val="222222"/>
          <w:sz w:val="21"/>
          <w:szCs w:val="21"/>
          <w:lang w:val="fr-FR"/>
        </w:rPr>
        <w:t>payback</w:t>
      </w:r>
      <w:proofErr w:type="spellEnd"/>
      <w:r w:rsidRPr="008308F6">
        <w:rPr>
          <w:rFonts w:ascii="Calibri" w:eastAsia="Calibri" w:hAnsi="Calibri" w:cs="Calibri"/>
          <w:color w:val="222222"/>
          <w:sz w:val="21"/>
          <w:szCs w:val="21"/>
          <w:lang w:val="fr-FR"/>
        </w:rPr>
        <w:t xml:space="preserve"> du §9.2. Ce coût repousse mécaniquement le seuil de rentabilité affiché, et il s'ajoute à un second effet, moins visible : un dossier suspendu dix-huit mois immobilise aussi l'équipe qui l'a préparé, ce qui interrompt la courbe d'apprentissage (§4.3) et renchérit le mètre suivant. Le délai d'instruction n'est donc pas neutre pour l'économie du forage profond : c'est une variable de sensibilité supplémentaire, au même titre que le prix du gaz, le prix de l'électricité ou le COP réel (§9.1).</w:t>
      </w:r>
    </w:p>
    <w:p w14:paraId="4E228E12" w14:textId="77777777" w:rsidR="008E7E6D" w:rsidRPr="008308F6" w:rsidRDefault="00000000">
      <w:pPr>
        <w:spacing w:before="260" w:after="120"/>
        <w:rPr>
          <w:lang w:val="fr-FR"/>
        </w:rPr>
      </w:pPr>
      <w:proofErr w:type="gramStart"/>
      <w:r w:rsidRPr="008308F6">
        <w:rPr>
          <w:rFonts w:ascii="Calibri" w:eastAsia="Calibri" w:hAnsi="Calibri" w:cs="Calibri"/>
          <w:b/>
          <w:bCs/>
          <w:color w:val="1F6F5C"/>
          <w:sz w:val="24"/>
          <w:szCs w:val="24"/>
          <w:lang w:val="fr-FR"/>
        </w:rPr>
        <w:t>6.3  Un</w:t>
      </w:r>
      <w:proofErr w:type="gramEnd"/>
      <w:r w:rsidRPr="008308F6">
        <w:rPr>
          <w:rFonts w:ascii="Calibri" w:eastAsia="Calibri" w:hAnsi="Calibri" w:cs="Calibri"/>
          <w:b/>
          <w:bCs/>
          <w:color w:val="1F6F5C"/>
          <w:sz w:val="24"/>
          <w:szCs w:val="24"/>
          <w:lang w:val="fr-FR"/>
        </w:rPr>
        <w:t xml:space="preserve"> mécanisme de contournement qui pèse sur la fiabilité du personnel</w:t>
      </w:r>
    </w:p>
    <w:p w14:paraId="1EB11591" w14:textId="0273C103" w:rsidR="008308F6" w:rsidRDefault="00000000">
      <w:pPr>
        <w:spacing w:after="160" w:line="276" w:lineRule="auto"/>
        <w:jc w:val="both"/>
        <w:rPr>
          <w:rFonts w:ascii="Calibri" w:eastAsia="Calibri" w:hAnsi="Calibri" w:cs="Calibri"/>
          <w:color w:val="222222"/>
          <w:sz w:val="21"/>
          <w:szCs w:val="21"/>
          <w:lang w:val="fr-FR"/>
        </w:rPr>
      </w:pPr>
      <w:r w:rsidRPr="008308F6">
        <w:rPr>
          <w:rFonts w:ascii="Calibri" w:eastAsia="Calibri" w:hAnsi="Calibri" w:cs="Calibri"/>
          <w:color w:val="222222"/>
          <w:sz w:val="21"/>
          <w:szCs w:val="21"/>
          <w:lang w:val="fr-FR"/>
        </w:rPr>
        <w:t>Le retour d'expérience de terrain transmis aux autorités compétentes (§6.5) documente un mécanisme structurel plutôt qu'un cas isolé : lorsqu'un contrat à durée déterminée s'interrompt faute de dossier suivant disponible, des consultants sous statut d'auto-entrepreneur — parfois en situation précaire, non soumis aux mêmes visites médicales obligatoires — peuvent rester sur le chantier, financés en partie par des dispositifs d'aide publique, quand les salariés en CDD sont les premiers arrêtés. Ce mécanisme ne procède pas d'une volonté délibérée de nuire de la part d'un employeur en particulier ; il révèle une faille structurelle dans la manière dont le statut contractuel, plutôt que la compétence ou la conformité réelle, détermine qui reste sur le chantier. Économiquement, il produit l'inverse de la fiabilisation du personnel décrite en §8.3 : plus de turn-over, plus de variance, donc un WACC de projet plus élevé que celui qu'affiche un dossier théorique.</w:t>
      </w:r>
    </w:p>
    <w:p w14:paraId="471EC4E1" w14:textId="423DB6C0" w:rsidR="008E7E6D" w:rsidRPr="008308F6" w:rsidRDefault="008308F6" w:rsidP="008308F6">
      <w:pPr>
        <w:rPr>
          <w:rFonts w:ascii="Calibri" w:eastAsia="Calibri" w:hAnsi="Calibri" w:cs="Calibri"/>
          <w:color w:val="222222"/>
          <w:sz w:val="21"/>
          <w:szCs w:val="21"/>
          <w:lang w:val="fr-FR"/>
        </w:rPr>
      </w:pPr>
      <w:r>
        <w:rPr>
          <w:rFonts w:ascii="Calibri" w:eastAsia="Calibri" w:hAnsi="Calibri" w:cs="Calibri"/>
          <w:color w:val="222222"/>
          <w:sz w:val="21"/>
          <w:szCs w:val="21"/>
          <w:lang w:val="fr-FR"/>
        </w:rPr>
        <w:br w:type="page"/>
      </w:r>
    </w:p>
    <w:p w14:paraId="0A952B07" w14:textId="5EBF3E1D" w:rsidR="008E7E6D" w:rsidRPr="008308F6" w:rsidRDefault="00000000">
      <w:pPr>
        <w:spacing w:before="260" w:after="120"/>
        <w:rPr>
          <w:lang w:val="fr-FR"/>
        </w:rPr>
      </w:pPr>
      <w:proofErr w:type="gramStart"/>
      <w:r w:rsidRPr="008308F6">
        <w:rPr>
          <w:rFonts w:ascii="Calibri" w:eastAsia="Calibri" w:hAnsi="Calibri" w:cs="Calibri"/>
          <w:b/>
          <w:bCs/>
          <w:color w:val="1F6F5C"/>
          <w:sz w:val="24"/>
          <w:szCs w:val="24"/>
          <w:lang w:val="fr-FR"/>
        </w:rPr>
        <w:lastRenderedPageBreak/>
        <w:t>6.4  Allocations</w:t>
      </w:r>
      <w:proofErr w:type="gramEnd"/>
      <w:r w:rsidRPr="008308F6">
        <w:rPr>
          <w:rFonts w:ascii="Calibri" w:eastAsia="Calibri" w:hAnsi="Calibri" w:cs="Calibri"/>
          <w:b/>
          <w:bCs/>
          <w:color w:val="1F6F5C"/>
          <w:sz w:val="24"/>
          <w:szCs w:val="24"/>
          <w:lang w:val="fr-FR"/>
        </w:rPr>
        <w:t xml:space="preserve"> ADEME : un dispositif qui touche</w:t>
      </w:r>
      <w:r w:rsidR="008308F6">
        <w:rPr>
          <w:rFonts w:ascii="Calibri" w:eastAsia="Calibri" w:hAnsi="Calibri" w:cs="Calibri"/>
          <w:b/>
          <w:bCs/>
          <w:color w:val="1F6F5C"/>
          <w:sz w:val="24"/>
          <w:szCs w:val="24"/>
          <w:lang w:val="fr-FR"/>
        </w:rPr>
        <w:t xml:space="preserve"> finalement</w:t>
      </w:r>
      <w:r w:rsidRPr="008308F6">
        <w:rPr>
          <w:rFonts w:ascii="Calibri" w:eastAsia="Calibri" w:hAnsi="Calibri" w:cs="Calibri"/>
          <w:b/>
          <w:bCs/>
          <w:color w:val="1F6F5C"/>
          <w:sz w:val="24"/>
          <w:szCs w:val="24"/>
          <w:lang w:val="fr-FR"/>
        </w:rPr>
        <w:t xml:space="preserve"> peu les conditions de terrain</w:t>
      </w:r>
    </w:p>
    <w:p w14:paraId="17A06CBC" w14:textId="77777777" w:rsidR="008E7E6D" w:rsidRPr="008308F6" w:rsidRDefault="00000000">
      <w:pPr>
        <w:spacing w:after="160" w:line="276" w:lineRule="auto"/>
        <w:jc w:val="both"/>
        <w:rPr>
          <w:lang w:val="fr-FR"/>
        </w:rPr>
      </w:pPr>
      <w:r w:rsidRPr="008308F6">
        <w:rPr>
          <w:rFonts w:ascii="Calibri" w:eastAsia="Calibri" w:hAnsi="Calibri" w:cs="Calibri"/>
          <w:color w:val="222222"/>
          <w:sz w:val="21"/>
          <w:szCs w:val="21"/>
          <w:lang w:val="fr-FR"/>
        </w:rPr>
        <w:t>Tel qu'il est aujourd'hui structuré, le soutien de l'ADEME finance des opérateurs et des projets ; il atteint rarement les conditions concrètes de travail de ceux qui réalisent les forages à prix tirés. Les recommandations préfectorales de précaution en période de forte chaleur, pourtant publiées, ne se traduisent pas systématiquement sur les chantiers. Il existe ainsi un double niveau de dispositif — l'un administratif et financier, l'autre opérationnel et humain — qui ne se rencontrent pas. La conditionnalité proposée en §5.3 vise précisément à faire converger ces deux niveaux, sans alourdir le dispositif d'une couche de conformité supplémentaire.</w:t>
      </w:r>
    </w:p>
    <w:p w14:paraId="00781CD3" w14:textId="77777777" w:rsidR="008E7E6D" w:rsidRPr="008308F6" w:rsidRDefault="00000000">
      <w:pPr>
        <w:spacing w:before="260" w:after="120"/>
        <w:rPr>
          <w:lang w:val="fr-FR"/>
        </w:rPr>
      </w:pPr>
      <w:proofErr w:type="gramStart"/>
      <w:r w:rsidRPr="008308F6">
        <w:rPr>
          <w:rFonts w:ascii="Calibri" w:eastAsia="Calibri" w:hAnsi="Calibri" w:cs="Calibri"/>
          <w:b/>
          <w:bCs/>
          <w:color w:val="1F6F5C"/>
          <w:sz w:val="24"/>
          <w:szCs w:val="24"/>
          <w:lang w:val="fr-FR"/>
        </w:rPr>
        <w:t>6.5  Portée</w:t>
      </w:r>
      <w:proofErr w:type="gramEnd"/>
      <w:r w:rsidRPr="008308F6">
        <w:rPr>
          <w:rFonts w:ascii="Calibri" w:eastAsia="Calibri" w:hAnsi="Calibri" w:cs="Calibri"/>
          <w:b/>
          <w:bCs/>
          <w:color w:val="1F6F5C"/>
          <w:sz w:val="24"/>
          <w:szCs w:val="24"/>
          <w:lang w:val="fr-FR"/>
        </w:rPr>
        <w:t xml:space="preserve"> et origine de ce retour d'expérience</w:t>
      </w:r>
    </w:p>
    <w:p w14:paraId="1AF68ACB" w14:textId="77777777" w:rsidR="008E7E6D" w:rsidRPr="008308F6" w:rsidRDefault="00000000">
      <w:pPr>
        <w:spacing w:after="160" w:line="276" w:lineRule="auto"/>
        <w:jc w:val="both"/>
        <w:rPr>
          <w:lang w:val="fr-FR"/>
        </w:rPr>
      </w:pPr>
      <w:r w:rsidRPr="008308F6">
        <w:rPr>
          <w:rFonts w:ascii="Calibri" w:eastAsia="Calibri" w:hAnsi="Calibri" w:cs="Calibri"/>
          <w:color w:val="222222"/>
          <w:sz w:val="21"/>
          <w:szCs w:val="21"/>
          <w:lang w:val="fr-FR"/>
        </w:rPr>
        <w:t xml:space="preserve">Les constats des §5.4 et §6.2 à §6.4 synthétisent un retour d'expérience de terrain conduit par l'auteur sur des chantiers français de géothermie entre 2024 et 2026, d'abord comme aide-foreur certifié GMI sur des puits de 15 à 200 mètres, puis comme </w:t>
      </w:r>
      <w:proofErr w:type="spellStart"/>
      <w:r w:rsidRPr="008308F6">
        <w:rPr>
          <w:rFonts w:ascii="Calibri" w:eastAsia="Calibri" w:hAnsi="Calibri" w:cs="Calibri"/>
          <w:color w:val="222222"/>
          <w:sz w:val="21"/>
          <w:szCs w:val="21"/>
          <w:lang w:val="fr-FR"/>
        </w:rPr>
        <w:t>mud</w:t>
      </w:r>
      <w:proofErr w:type="spellEnd"/>
      <w:r w:rsidRPr="008308F6">
        <w:rPr>
          <w:rFonts w:ascii="Calibri" w:eastAsia="Calibri" w:hAnsi="Calibri" w:cs="Calibri"/>
          <w:color w:val="222222"/>
          <w:sz w:val="21"/>
          <w:szCs w:val="21"/>
          <w:lang w:val="fr-FR"/>
        </w:rPr>
        <w:t xml:space="preserve"> logger sur des forages profonds ciblant les formations du Dogger et du Bathonien. Ce retour d'expérience a été porté, au premier semestre 2026, à la connaissance des services du Premier ministre, qui l'ont orienté vers le ministère compétent en matière d'Énergie pour examen ; une correspondance de suivi a été adressée à ce ministère début septembre 2026. Par souci de confidentialité et à la demande de l'auteur, cette correspondance n'est pas citée ici nommément ni par ses références internes : seuls les constats de fond, anonymisés, en sont repris dans la présente note.</w:t>
      </w:r>
    </w:p>
    <w:p w14:paraId="7F3753CD" w14:textId="77777777" w:rsidR="008E7E6D" w:rsidRPr="008308F6" w:rsidRDefault="00000000">
      <w:pPr>
        <w:pStyle w:val="Heading1"/>
        <w:pBdr>
          <w:bottom w:val="single" w:sz="6" w:space="4" w:color="1B3A54"/>
        </w:pBdr>
        <w:spacing w:before="420" w:after="200"/>
        <w:rPr>
          <w:lang w:val="fr-FR"/>
        </w:rPr>
      </w:pPr>
      <w:bookmarkStart w:id="6" w:name="_Toc240015684"/>
      <w:r w:rsidRPr="008308F6">
        <w:rPr>
          <w:rFonts w:ascii="Calibri" w:eastAsia="Calibri" w:hAnsi="Calibri" w:cs="Calibri"/>
          <w:b/>
          <w:bCs/>
          <w:color w:val="1B3A54"/>
          <w:sz w:val="30"/>
          <w:szCs w:val="30"/>
          <w:lang w:val="fr-FR"/>
        </w:rPr>
        <w:t>7.  Le projet +EECM — démonstrateur ville par ville</w:t>
      </w:r>
      <w:bookmarkEnd w:id="6"/>
    </w:p>
    <w:p w14:paraId="0896E4D0" w14:textId="77777777" w:rsidR="008E7E6D" w:rsidRPr="008308F6" w:rsidRDefault="00000000">
      <w:pPr>
        <w:spacing w:before="260" w:after="120"/>
        <w:rPr>
          <w:lang w:val="fr-FR"/>
        </w:rPr>
      </w:pPr>
      <w:proofErr w:type="gramStart"/>
      <w:r w:rsidRPr="008308F6">
        <w:rPr>
          <w:rFonts w:ascii="Calibri" w:eastAsia="Calibri" w:hAnsi="Calibri" w:cs="Calibri"/>
          <w:b/>
          <w:bCs/>
          <w:color w:val="1F6F5C"/>
          <w:sz w:val="24"/>
          <w:szCs w:val="24"/>
          <w:lang w:val="fr-FR"/>
        </w:rPr>
        <w:t>7.1  Objet</w:t>
      </w:r>
      <w:proofErr w:type="gramEnd"/>
    </w:p>
    <w:p w14:paraId="1FD4A8B3" w14:textId="77777777" w:rsidR="008E7E6D" w:rsidRPr="008308F6" w:rsidRDefault="00000000">
      <w:pPr>
        <w:spacing w:after="160" w:line="276" w:lineRule="auto"/>
        <w:jc w:val="both"/>
        <w:rPr>
          <w:lang w:val="fr-FR"/>
        </w:rPr>
      </w:pPr>
      <w:r w:rsidRPr="008308F6">
        <w:rPr>
          <w:rFonts w:ascii="Calibri" w:eastAsia="Calibri" w:hAnsi="Calibri" w:cs="Calibri"/>
          <w:color w:val="222222"/>
          <w:sz w:val="21"/>
          <w:szCs w:val="21"/>
          <w:lang w:val="fr-FR"/>
        </w:rPr>
        <w:t xml:space="preserve">+EECM (Évaluation Énergétique des Consommations Municipales / Massification) est un outil de démonstration, commune par commune et intercommunalité par intercommunalité. Il ne remplace pas </w:t>
      </w:r>
      <w:proofErr w:type="spellStart"/>
      <w:r w:rsidRPr="008308F6">
        <w:rPr>
          <w:rFonts w:ascii="Calibri" w:eastAsia="Calibri" w:hAnsi="Calibri" w:cs="Calibri"/>
          <w:color w:val="222222"/>
          <w:sz w:val="21"/>
          <w:szCs w:val="21"/>
          <w:lang w:val="fr-FR"/>
        </w:rPr>
        <w:t>BatEnR</w:t>
      </w:r>
      <w:proofErr w:type="spellEnd"/>
      <w:r w:rsidRPr="008308F6">
        <w:rPr>
          <w:rFonts w:ascii="Calibri" w:eastAsia="Calibri" w:hAnsi="Calibri" w:cs="Calibri"/>
          <w:color w:val="222222"/>
          <w:sz w:val="21"/>
          <w:szCs w:val="21"/>
          <w:lang w:val="fr-FR"/>
        </w:rPr>
        <w:t xml:space="preserve"> (Cerema / ADEME / DGEC) ni </w:t>
      </w:r>
      <w:proofErr w:type="spellStart"/>
      <w:r w:rsidRPr="008308F6">
        <w:rPr>
          <w:rFonts w:ascii="Calibri" w:eastAsia="Calibri" w:hAnsi="Calibri" w:cs="Calibri"/>
          <w:color w:val="222222"/>
          <w:sz w:val="21"/>
          <w:szCs w:val="21"/>
          <w:lang w:val="fr-FR"/>
        </w:rPr>
        <w:t>EnRezo</w:t>
      </w:r>
      <w:proofErr w:type="spellEnd"/>
      <w:r w:rsidRPr="008308F6">
        <w:rPr>
          <w:rFonts w:ascii="Calibri" w:eastAsia="Calibri" w:hAnsi="Calibri" w:cs="Calibri"/>
          <w:color w:val="222222"/>
          <w:sz w:val="21"/>
          <w:szCs w:val="21"/>
          <w:lang w:val="fr-FR"/>
        </w:rPr>
        <w:t>. Il traduit la facture réelle du parc immobilier — résidentiel, tertiaire, public, social — en un prix annuel payé pour l'absence de souveraineté énergétique.</w:t>
      </w:r>
    </w:p>
    <w:p w14:paraId="3C58AA27" w14:textId="77777777" w:rsidR="008E7E6D" w:rsidRPr="008308F6" w:rsidRDefault="00000000">
      <w:pPr>
        <w:spacing w:after="160" w:line="276" w:lineRule="auto"/>
        <w:jc w:val="both"/>
        <w:rPr>
          <w:lang w:val="fr-FR"/>
        </w:rPr>
      </w:pPr>
      <w:r w:rsidRPr="008308F6">
        <w:rPr>
          <w:rFonts w:ascii="Calibri" w:eastAsia="Calibri" w:hAnsi="Calibri" w:cs="Calibri"/>
          <w:color w:val="222222"/>
          <w:sz w:val="21"/>
          <w:szCs w:val="21"/>
          <w:lang w:val="fr-FR"/>
        </w:rPr>
        <w:t>Principe : l'énergie dépensée dans l'immobile (chauffage, ECS, froid) est déjà un flux monétaire sortant. Ce flux est la meilleure approximation du « loyer énergétique » que la ville verse à des chaînes d'approvisionnement qu'elle ne contrôle pas. +EECM met en regard ce loyer et le service rendu par un système souverain plus efficace (géothermie de surface, nappe, profond, boucles d'écoquartier, récupération de chaleur fatale). Le projet Adaptation (§5) en est le complément amont : sans amélioration du débit d'instruction, le chemin de cash-flow que +EECM promet ville par ville reste soumis au même aléa administratif que documente le §6.</w:t>
      </w:r>
    </w:p>
    <w:p w14:paraId="30846CD1" w14:textId="77777777" w:rsidR="008E7E6D" w:rsidRPr="008308F6" w:rsidRDefault="00000000">
      <w:pPr>
        <w:spacing w:before="260" w:after="120"/>
        <w:rPr>
          <w:lang w:val="fr-FR"/>
        </w:rPr>
      </w:pPr>
      <w:proofErr w:type="gramStart"/>
      <w:r w:rsidRPr="008308F6">
        <w:rPr>
          <w:rFonts w:ascii="Calibri" w:eastAsia="Calibri" w:hAnsi="Calibri" w:cs="Calibri"/>
          <w:b/>
          <w:bCs/>
          <w:color w:val="1F6F5C"/>
          <w:sz w:val="24"/>
          <w:szCs w:val="24"/>
          <w:lang w:val="fr-FR"/>
        </w:rPr>
        <w:t>7.2  Ce</w:t>
      </w:r>
      <w:proofErr w:type="gramEnd"/>
      <w:r w:rsidRPr="008308F6">
        <w:rPr>
          <w:rFonts w:ascii="Calibri" w:eastAsia="Calibri" w:hAnsi="Calibri" w:cs="Calibri"/>
          <w:b/>
          <w:bCs/>
          <w:color w:val="1F6F5C"/>
          <w:sz w:val="24"/>
          <w:szCs w:val="24"/>
          <w:lang w:val="fr-FR"/>
        </w:rPr>
        <w:t xml:space="preserve"> que l'outil calcule, ville à ville</w:t>
      </w:r>
    </w:p>
    <w:tbl>
      <w:tblPr>
        <w:tblW w:w="9000" w:type="dxa"/>
        <w:tblBorders>
          <w:top w:val="single" w:sz="2" w:space="0" w:color="CCCCCC"/>
          <w:left w:val="single" w:sz="2" w:space="0" w:color="CCCCCC"/>
          <w:bottom w:val="single" w:sz="2" w:space="0" w:color="CCCCCC"/>
          <w:right w:val="single" w:sz="2" w:space="0" w:color="CCCCCC"/>
          <w:insideH w:val="single" w:sz="2" w:space="0" w:color="DDDDDD"/>
          <w:insideV w:val="single" w:sz="2" w:space="0" w:color="DDDDDD"/>
        </w:tblBorders>
        <w:tblCellMar>
          <w:left w:w="10" w:type="dxa"/>
          <w:right w:w="10" w:type="dxa"/>
        </w:tblCellMar>
        <w:tblLook w:val="04A0" w:firstRow="1" w:lastRow="0" w:firstColumn="1" w:lastColumn="0" w:noHBand="0" w:noVBand="1"/>
      </w:tblPr>
      <w:tblGrid>
        <w:gridCol w:w="1800"/>
        <w:gridCol w:w="3600"/>
        <w:gridCol w:w="3600"/>
      </w:tblGrid>
      <w:tr w:rsidR="008E7E6D" w:rsidRPr="008308F6" w14:paraId="3C130EE8" w14:textId="77777777">
        <w:tblPrEx>
          <w:tblCellMar>
            <w:top w:w="0" w:type="dxa"/>
            <w:bottom w:w="0" w:type="dxa"/>
          </w:tblCellMar>
        </w:tblPrEx>
        <w:trPr>
          <w:tblHeader/>
        </w:trPr>
        <w:tc>
          <w:tcPr>
            <w:tcW w:w="1800" w:type="dxa"/>
            <w:shd w:val="clear" w:color="auto" w:fill="1B3A54"/>
            <w:tcMar>
              <w:top w:w="80" w:type="dxa"/>
              <w:left w:w="100" w:type="dxa"/>
              <w:bottom w:w="80" w:type="dxa"/>
              <w:right w:w="100" w:type="dxa"/>
            </w:tcMar>
            <w:vAlign w:val="center"/>
          </w:tcPr>
          <w:p w14:paraId="634F4ED0" w14:textId="77777777" w:rsidR="008E7E6D" w:rsidRDefault="00000000">
            <w:pPr>
              <w:jc w:val="center"/>
            </w:pPr>
            <w:r>
              <w:rPr>
                <w:rFonts w:ascii="Calibri" w:eastAsia="Calibri" w:hAnsi="Calibri" w:cs="Calibri"/>
                <w:b/>
                <w:bCs/>
                <w:color w:val="FFFFFF"/>
                <w:sz w:val="18"/>
                <w:szCs w:val="18"/>
              </w:rPr>
              <w:t>Bloc</w:t>
            </w:r>
          </w:p>
        </w:tc>
        <w:tc>
          <w:tcPr>
            <w:tcW w:w="3600" w:type="dxa"/>
            <w:shd w:val="clear" w:color="auto" w:fill="1B3A54"/>
            <w:tcMar>
              <w:top w:w="80" w:type="dxa"/>
              <w:left w:w="100" w:type="dxa"/>
              <w:bottom w:w="80" w:type="dxa"/>
              <w:right w:w="100" w:type="dxa"/>
            </w:tcMar>
            <w:vAlign w:val="center"/>
          </w:tcPr>
          <w:p w14:paraId="748F66F0" w14:textId="77777777" w:rsidR="008E7E6D" w:rsidRDefault="00000000">
            <w:pPr>
              <w:jc w:val="center"/>
            </w:pPr>
            <w:r>
              <w:rPr>
                <w:rFonts w:ascii="Calibri" w:eastAsia="Calibri" w:hAnsi="Calibri" w:cs="Calibri"/>
                <w:b/>
                <w:bCs/>
                <w:color w:val="FFFFFF"/>
                <w:sz w:val="18"/>
                <w:szCs w:val="18"/>
              </w:rPr>
              <w:t>Entrée</w:t>
            </w:r>
          </w:p>
        </w:tc>
        <w:tc>
          <w:tcPr>
            <w:tcW w:w="3600" w:type="dxa"/>
            <w:shd w:val="clear" w:color="auto" w:fill="1B3A54"/>
            <w:tcMar>
              <w:top w:w="80" w:type="dxa"/>
              <w:left w:w="100" w:type="dxa"/>
              <w:bottom w:w="80" w:type="dxa"/>
              <w:right w:w="100" w:type="dxa"/>
            </w:tcMar>
            <w:vAlign w:val="center"/>
          </w:tcPr>
          <w:p w14:paraId="3C6CFC2D" w14:textId="77777777" w:rsidR="008E7E6D" w:rsidRPr="008308F6" w:rsidRDefault="00000000">
            <w:pPr>
              <w:jc w:val="center"/>
              <w:rPr>
                <w:lang w:val="fr-FR"/>
              </w:rPr>
            </w:pPr>
            <w:r w:rsidRPr="008308F6">
              <w:rPr>
                <w:rFonts w:ascii="Calibri" w:eastAsia="Calibri" w:hAnsi="Calibri" w:cs="Calibri"/>
                <w:b/>
                <w:bCs/>
                <w:color w:val="FFFFFF"/>
                <w:sz w:val="18"/>
                <w:szCs w:val="18"/>
                <w:lang w:val="fr-FR"/>
              </w:rPr>
              <w:t>Sortie utile au maire / DGS</w:t>
            </w:r>
          </w:p>
        </w:tc>
      </w:tr>
      <w:tr w:rsidR="008E7E6D" w:rsidRPr="008308F6" w14:paraId="23153D18" w14:textId="77777777">
        <w:tblPrEx>
          <w:tblCellMar>
            <w:top w:w="0" w:type="dxa"/>
            <w:bottom w:w="0" w:type="dxa"/>
          </w:tblCellMar>
        </w:tblPrEx>
        <w:tc>
          <w:tcPr>
            <w:tcW w:w="1800" w:type="dxa"/>
            <w:tcMar>
              <w:top w:w="80" w:type="dxa"/>
              <w:left w:w="100" w:type="dxa"/>
              <w:bottom w:w="80" w:type="dxa"/>
              <w:right w:w="100" w:type="dxa"/>
            </w:tcMar>
          </w:tcPr>
          <w:p w14:paraId="422FBBD7" w14:textId="77777777" w:rsidR="008E7E6D" w:rsidRDefault="00000000">
            <w:r>
              <w:rPr>
                <w:rFonts w:ascii="Calibri" w:eastAsia="Calibri" w:hAnsi="Calibri" w:cs="Calibri"/>
                <w:color w:val="222222"/>
                <w:sz w:val="18"/>
                <w:szCs w:val="18"/>
              </w:rPr>
              <w:t xml:space="preserve">Parc </w:t>
            </w:r>
            <w:proofErr w:type="spellStart"/>
            <w:r>
              <w:rPr>
                <w:rFonts w:ascii="Calibri" w:eastAsia="Calibri" w:hAnsi="Calibri" w:cs="Calibri"/>
                <w:color w:val="222222"/>
                <w:sz w:val="18"/>
                <w:szCs w:val="18"/>
              </w:rPr>
              <w:t>immobilier</w:t>
            </w:r>
            <w:proofErr w:type="spellEnd"/>
          </w:p>
        </w:tc>
        <w:tc>
          <w:tcPr>
            <w:tcW w:w="3600" w:type="dxa"/>
            <w:tcMar>
              <w:top w:w="80" w:type="dxa"/>
              <w:left w:w="100" w:type="dxa"/>
              <w:bottom w:w="80" w:type="dxa"/>
              <w:right w:w="100" w:type="dxa"/>
            </w:tcMar>
          </w:tcPr>
          <w:p w14:paraId="3C45ED9D" w14:textId="77777777" w:rsidR="008E7E6D" w:rsidRPr="008308F6" w:rsidRDefault="00000000">
            <w:pPr>
              <w:rPr>
                <w:lang w:val="fr-FR"/>
              </w:rPr>
            </w:pPr>
            <w:proofErr w:type="gramStart"/>
            <w:r w:rsidRPr="008308F6">
              <w:rPr>
                <w:rFonts w:ascii="Calibri" w:eastAsia="Calibri" w:hAnsi="Calibri" w:cs="Calibri"/>
                <w:color w:val="222222"/>
                <w:sz w:val="18"/>
                <w:szCs w:val="18"/>
                <w:lang w:val="fr-FR"/>
              </w:rPr>
              <w:t>m</w:t>
            </w:r>
            <w:proofErr w:type="gramEnd"/>
            <w:r w:rsidRPr="008308F6">
              <w:rPr>
                <w:rFonts w:ascii="Calibri" w:eastAsia="Calibri" w:hAnsi="Calibri" w:cs="Calibri"/>
                <w:color w:val="222222"/>
                <w:sz w:val="18"/>
                <w:szCs w:val="18"/>
                <w:lang w:val="fr-FR"/>
              </w:rPr>
              <w:t xml:space="preserve">², DPE, usages, mix actuel (gaz, fioul, </w:t>
            </w:r>
            <w:proofErr w:type="spellStart"/>
            <w:r w:rsidRPr="008308F6">
              <w:rPr>
                <w:rFonts w:ascii="Calibri" w:eastAsia="Calibri" w:hAnsi="Calibri" w:cs="Calibri"/>
                <w:color w:val="222222"/>
                <w:sz w:val="18"/>
                <w:szCs w:val="18"/>
                <w:lang w:val="fr-FR"/>
              </w:rPr>
              <w:t>elec</w:t>
            </w:r>
            <w:proofErr w:type="spellEnd"/>
            <w:r w:rsidRPr="008308F6">
              <w:rPr>
                <w:rFonts w:ascii="Calibri" w:eastAsia="Calibri" w:hAnsi="Calibri" w:cs="Calibri"/>
                <w:color w:val="222222"/>
                <w:sz w:val="18"/>
                <w:szCs w:val="18"/>
                <w:lang w:val="fr-FR"/>
              </w:rPr>
              <w:t xml:space="preserve"> Joule, RCU)</w:t>
            </w:r>
          </w:p>
        </w:tc>
        <w:tc>
          <w:tcPr>
            <w:tcW w:w="3600" w:type="dxa"/>
            <w:tcMar>
              <w:top w:w="80" w:type="dxa"/>
              <w:left w:w="100" w:type="dxa"/>
              <w:bottom w:w="80" w:type="dxa"/>
              <w:right w:w="100" w:type="dxa"/>
            </w:tcMar>
          </w:tcPr>
          <w:p w14:paraId="61B976F3" w14:textId="77777777" w:rsidR="008E7E6D" w:rsidRPr="008308F6" w:rsidRDefault="00000000">
            <w:pPr>
              <w:rPr>
                <w:lang w:val="fr-FR"/>
              </w:rPr>
            </w:pPr>
            <w:r w:rsidRPr="008308F6">
              <w:rPr>
                <w:rFonts w:ascii="Calibri" w:eastAsia="Calibri" w:hAnsi="Calibri" w:cs="Calibri"/>
                <w:color w:val="222222"/>
                <w:sz w:val="18"/>
                <w:szCs w:val="18"/>
                <w:lang w:val="fr-FR"/>
              </w:rPr>
              <w:t>Facture annuelle € et MWh du territoire</w:t>
            </w:r>
          </w:p>
        </w:tc>
      </w:tr>
      <w:tr w:rsidR="008E7E6D" w:rsidRPr="008308F6" w14:paraId="3A3E2388" w14:textId="77777777">
        <w:tblPrEx>
          <w:tblCellMar>
            <w:top w:w="0" w:type="dxa"/>
            <w:bottom w:w="0" w:type="dxa"/>
          </w:tblCellMar>
        </w:tblPrEx>
        <w:tc>
          <w:tcPr>
            <w:tcW w:w="1800" w:type="dxa"/>
            <w:shd w:val="clear" w:color="auto" w:fill="F4F4F2"/>
            <w:tcMar>
              <w:top w:w="80" w:type="dxa"/>
              <w:left w:w="100" w:type="dxa"/>
              <w:bottom w:w="80" w:type="dxa"/>
              <w:right w:w="100" w:type="dxa"/>
            </w:tcMar>
          </w:tcPr>
          <w:p w14:paraId="00D57C04" w14:textId="77777777" w:rsidR="008E7E6D" w:rsidRDefault="00000000">
            <w:r>
              <w:rPr>
                <w:rFonts w:ascii="Calibri" w:eastAsia="Calibri" w:hAnsi="Calibri" w:cs="Calibri"/>
                <w:color w:val="222222"/>
                <w:sz w:val="18"/>
                <w:szCs w:val="18"/>
              </w:rPr>
              <w:t xml:space="preserve">Prix sans </w:t>
            </w:r>
            <w:proofErr w:type="spellStart"/>
            <w:r>
              <w:rPr>
                <w:rFonts w:ascii="Calibri" w:eastAsia="Calibri" w:hAnsi="Calibri" w:cs="Calibri"/>
                <w:color w:val="222222"/>
                <w:sz w:val="18"/>
                <w:szCs w:val="18"/>
              </w:rPr>
              <w:t>souveraineté</w:t>
            </w:r>
            <w:proofErr w:type="spellEnd"/>
          </w:p>
        </w:tc>
        <w:tc>
          <w:tcPr>
            <w:tcW w:w="3600" w:type="dxa"/>
            <w:shd w:val="clear" w:color="auto" w:fill="F4F4F2"/>
            <w:tcMar>
              <w:top w:w="80" w:type="dxa"/>
              <w:left w:w="100" w:type="dxa"/>
              <w:bottom w:w="80" w:type="dxa"/>
              <w:right w:w="100" w:type="dxa"/>
            </w:tcMar>
          </w:tcPr>
          <w:p w14:paraId="19036512" w14:textId="77777777" w:rsidR="008E7E6D" w:rsidRPr="008308F6" w:rsidRDefault="00000000">
            <w:pPr>
              <w:rPr>
                <w:lang w:val="fr-FR"/>
              </w:rPr>
            </w:pPr>
            <w:r w:rsidRPr="008308F6">
              <w:rPr>
                <w:rFonts w:ascii="Calibri" w:eastAsia="Calibri" w:hAnsi="Calibri" w:cs="Calibri"/>
                <w:color w:val="222222"/>
                <w:sz w:val="18"/>
                <w:szCs w:val="18"/>
                <w:lang w:val="fr-FR"/>
              </w:rPr>
              <w:t xml:space="preserve">Tarifs gaz / </w:t>
            </w:r>
            <w:proofErr w:type="spellStart"/>
            <w:r w:rsidRPr="008308F6">
              <w:rPr>
                <w:rFonts w:ascii="Calibri" w:eastAsia="Calibri" w:hAnsi="Calibri" w:cs="Calibri"/>
                <w:color w:val="222222"/>
                <w:sz w:val="18"/>
                <w:szCs w:val="18"/>
                <w:lang w:val="fr-FR"/>
              </w:rPr>
              <w:t>elec</w:t>
            </w:r>
            <w:proofErr w:type="spellEnd"/>
            <w:r w:rsidRPr="008308F6">
              <w:rPr>
                <w:rFonts w:ascii="Calibri" w:eastAsia="Calibri" w:hAnsi="Calibri" w:cs="Calibri"/>
                <w:color w:val="222222"/>
                <w:sz w:val="18"/>
                <w:szCs w:val="18"/>
                <w:lang w:val="fr-FR"/>
              </w:rPr>
              <w:t xml:space="preserve"> / fioul + volatilité 5–10 ans</w:t>
            </w:r>
          </w:p>
        </w:tc>
        <w:tc>
          <w:tcPr>
            <w:tcW w:w="3600" w:type="dxa"/>
            <w:shd w:val="clear" w:color="auto" w:fill="F4F4F2"/>
            <w:tcMar>
              <w:top w:w="80" w:type="dxa"/>
              <w:left w:w="100" w:type="dxa"/>
              <w:bottom w:w="80" w:type="dxa"/>
              <w:right w:w="100" w:type="dxa"/>
            </w:tcMar>
          </w:tcPr>
          <w:p w14:paraId="32491F2F" w14:textId="77777777" w:rsidR="008E7E6D" w:rsidRPr="008308F6" w:rsidRDefault="00000000">
            <w:pPr>
              <w:rPr>
                <w:lang w:val="fr-FR"/>
              </w:rPr>
            </w:pPr>
            <w:r w:rsidRPr="008308F6">
              <w:rPr>
                <w:rFonts w:ascii="Calibri" w:eastAsia="Calibri" w:hAnsi="Calibri" w:cs="Calibri"/>
                <w:color w:val="222222"/>
                <w:sz w:val="18"/>
                <w:szCs w:val="18"/>
                <w:lang w:val="fr-FR"/>
              </w:rPr>
              <w:t>« Loyer énergétique » €/an et €/</w:t>
            </w:r>
            <w:proofErr w:type="spellStart"/>
            <w:r w:rsidRPr="008308F6">
              <w:rPr>
                <w:rFonts w:ascii="Calibri" w:eastAsia="Calibri" w:hAnsi="Calibri" w:cs="Calibri"/>
                <w:color w:val="222222"/>
                <w:sz w:val="18"/>
                <w:szCs w:val="18"/>
                <w:lang w:val="fr-FR"/>
              </w:rPr>
              <w:t>hab</w:t>
            </w:r>
            <w:proofErr w:type="spellEnd"/>
          </w:p>
        </w:tc>
      </w:tr>
      <w:tr w:rsidR="008E7E6D" w:rsidRPr="008308F6" w14:paraId="44C6E877" w14:textId="77777777">
        <w:tblPrEx>
          <w:tblCellMar>
            <w:top w:w="0" w:type="dxa"/>
            <w:bottom w:w="0" w:type="dxa"/>
          </w:tblCellMar>
        </w:tblPrEx>
        <w:tc>
          <w:tcPr>
            <w:tcW w:w="1800" w:type="dxa"/>
            <w:tcMar>
              <w:top w:w="80" w:type="dxa"/>
              <w:left w:w="100" w:type="dxa"/>
              <w:bottom w:w="80" w:type="dxa"/>
              <w:right w:w="100" w:type="dxa"/>
            </w:tcMar>
          </w:tcPr>
          <w:p w14:paraId="7CE5E53E" w14:textId="77777777" w:rsidR="008E7E6D" w:rsidRDefault="00000000">
            <w:proofErr w:type="spellStart"/>
            <w:r>
              <w:rPr>
                <w:rFonts w:ascii="Calibri" w:eastAsia="Calibri" w:hAnsi="Calibri" w:cs="Calibri"/>
                <w:color w:val="222222"/>
                <w:sz w:val="18"/>
                <w:szCs w:val="18"/>
              </w:rPr>
              <w:t>Gisement</w:t>
            </w:r>
            <w:proofErr w:type="spellEnd"/>
            <w:r>
              <w:rPr>
                <w:rFonts w:ascii="Calibri" w:eastAsia="Calibri" w:hAnsi="Calibri" w:cs="Calibri"/>
                <w:color w:val="222222"/>
                <w:sz w:val="18"/>
                <w:szCs w:val="18"/>
              </w:rPr>
              <w:t xml:space="preserve"> </w:t>
            </w:r>
            <w:proofErr w:type="spellStart"/>
            <w:r>
              <w:rPr>
                <w:rFonts w:ascii="Calibri" w:eastAsia="Calibri" w:hAnsi="Calibri" w:cs="Calibri"/>
                <w:color w:val="222222"/>
                <w:sz w:val="18"/>
                <w:szCs w:val="18"/>
              </w:rPr>
              <w:t>géo</w:t>
            </w:r>
            <w:proofErr w:type="spellEnd"/>
          </w:p>
        </w:tc>
        <w:tc>
          <w:tcPr>
            <w:tcW w:w="3600" w:type="dxa"/>
            <w:tcMar>
              <w:top w:w="80" w:type="dxa"/>
              <w:left w:w="100" w:type="dxa"/>
              <w:bottom w:w="80" w:type="dxa"/>
              <w:right w:w="100" w:type="dxa"/>
            </w:tcMar>
          </w:tcPr>
          <w:p w14:paraId="1A987309" w14:textId="77777777" w:rsidR="008E7E6D" w:rsidRDefault="00000000">
            <w:r>
              <w:rPr>
                <w:rFonts w:ascii="Calibri" w:eastAsia="Calibri" w:hAnsi="Calibri" w:cs="Calibri"/>
                <w:color w:val="222222"/>
                <w:sz w:val="18"/>
                <w:szCs w:val="18"/>
              </w:rPr>
              <w:t xml:space="preserve">Sondes, nappe, </w:t>
            </w:r>
            <w:proofErr w:type="spellStart"/>
            <w:r>
              <w:rPr>
                <w:rFonts w:ascii="Calibri" w:eastAsia="Calibri" w:hAnsi="Calibri" w:cs="Calibri"/>
                <w:color w:val="222222"/>
                <w:sz w:val="18"/>
                <w:szCs w:val="18"/>
              </w:rPr>
              <w:t>profond</w:t>
            </w:r>
            <w:proofErr w:type="spellEnd"/>
            <w:r>
              <w:rPr>
                <w:rFonts w:ascii="Calibri" w:eastAsia="Calibri" w:hAnsi="Calibri" w:cs="Calibri"/>
                <w:color w:val="222222"/>
                <w:sz w:val="18"/>
                <w:szCs w:val="18"/>
              </w:rPr>
              <w:t>, fatale (CERN, process, data)</w:t>
            </w:r>
          </w:p>
        </w:tc>
        <w:tc>
          <w:tcPr>
            <w:tcW w:w="3600" w:type="dxa"/>
            <w:tcMar>
              <w:top w:w="80" w:type="dxa"/>
              <w:left w:w="100" w:type="dxa"/>
              <w:bottom w:w="80" w:type="dxa"/>
              <w:right w:w="100" w:type="dxa"/>
            </w:tcMar>
          </w:tcPr>
          <w:p w14:paraId="6581EF51" w14:textId="77777777" w:rsidR="008E7E6D" w:rsidRPr="008308F6" w:rsidRDefault="00000000">
            <w:pPr>
              <w:rPr>
                <w:lang w:val="fr-FR"/>
              </w:rPr>
            </w:pPr>
            <w:r w:rsidRPr="008308F6">
              <w:rPr>
                <w:rFonts w:ascii="Calibri" w:eastAsia="Calibri" w:hAnsi="Calibri" w:cs="Calibri"/>
                <w:color w:val="222222"/>
                <w:sz w:val="18"/>
                <w:szCs w:val="18"/>
                <w:lang w:val="fr-FR"/>
              </w:rPr>
              <w:t>Potentiel MWh et capex forage associé</w:t>
            </w:r>
          </w:p>
        </w:tc>
      </w:tr>
      <w:tr w:rsidR="008E7E6D" w:rsidRPr="008308F6" w14:paraId="2BDF6E7A" w14:textId="77777777">
        <w:tblPrEx>
          <w:tblCellMar>
            <w:top w:w="0" w:type="dxa"/>
            <w:bottom w:w="0" w:type="dxa"/>
          </w:tblCellMar>
        </w:tblPrEx>
        <w:tc>
          <w:tcPr>
            <w:tcW w:w="1800" w:type="dxa"/>
            <w:shd w:val="clear" w:color="auto" w:fill="F4F4F2"/>
            <w:tcMar>
              <w:top w:w="80" w:type="dxa"/>
              <w:left w:w="100" w:type="dxa"/>
              <w:bottom w:w="80" w:type="dxa"/>
              <w:right w:w="100" w:type="dxa"/>
            </w:tcMar>
          </w:tcPr>
          <w:p w14:paraId="1DD1089B" w14:textId="77777777" w:rsidR="008E7E6D" w:rsidRDefault="00000000">
            <w:proofErr w:type="spellStart"/>
            <w:r>
              <w:rPr>
                <w:rFonts w:ascii="Calibri" w:eastAsia="Calibri" w:hAnsi="Calibri" w:cs="Calibri"/>
                <w:color w:val="222222"/>
                <w:sz w:val="18"/>
                <w:szCs w:val="18"/>
              </w:rPr>
              <w:t>Scénario</w:t>
            </w:r>
            <w:proofErr w:type="spellEnd"/>
            <w:r>
              <w:rPr>
                <w:rFonts w:ascii="Calibri" w:eastAsia="Calibri" w:hAnsi="Calibri" w:cs="Calibri"/>
                <w:color w:val="222222"/>
                <w:sz w:val="18"/>
                <w:szCs w:val="18"/>
              </w:rPr>
              <w:t xml:space="preserve"> souverain</w:t>
            </w:r>
          </w:p>
        </w:tc>
        <w:tc>
          <w:tcPr>
            <w:tcW w:w="3600" w:type="dxa"/>
            <w:shd w:val="clear" w:color="auto" w:fill="F4F4F2"/>
            <w:tcMar>
              <w:top w:w="80" w:type="dxa"/>
              <w:left w:w="100" w:type="dxa"/>
              <w:bottom w:w="80" w:type="dxa"/>
              <w:right w:w="100" w:type="dxa"/>
            </w:tcMar>
          </w:tcPr>
          <w:p w14:paraId="7743E0F2" w14:textId="77777777" w:rsidR="008E7E6D" w:rsidRPr="008308F6" w:rsidRDefault="00000000">
            <w:pPr>
              <w:rPr>
                <w:lang w:val="fr-FR"/>
              </w:rPr>
            </w:pPr>
            <w:r w:rsidRPr="008308F6">
              <w:rPr>
                <w:rFonts w:ascii="Calibri" w:eastAsia="Calibri" w:hAnsi="Calibri" w:cs="Calibri"/>
                <w:color w:val="222222"/>
                <w:sz w:val="18"/>
                <w:szCs w:val="18"/>
                <w:lang w:val="fr-FR"/>
              </w:rPr>
              <w:t>PAC géo, RCU, boucle fermée, étoile urbaine</w:t>
            </w:r>
          </w:p>
        </w:tc>
        <w:tc>
          <w:tcPr>
            <w:tcW w:w="3600" w:type="dxa"/>
            <w:shd w:val="clear" w:color="auto" w:fill="F4F4F2"/>
            <w:tcMar>
              <w:top w:w="80" w:type="dxa"/>
              <w:left w:w="100" w:type="dxa"/>
              <w:bottom w:w="80" w:type="dxa"/>
              <w:right w:w="100" w:type="dxa"/>
            </w:tcMar>
          </w:tcPr>
          <w:p w14:paraId="02199E6D" w14:textId="77777777" w:rsidR="008E7E6D" w:rsidRPr="008308F6" w:rsidRDefault="00000000">
            <w:pPr>
              <w:rPr>
                <w:lang w:val="fr-FR"/>
              </w:rPr>
            </w:pPr>
            <w:r w:rsidRPr="008308F6">
              <w:rPr>
                <w:rFonts w:ascii="Calibri" w:eastAsia="Calibri" w:hAnsi="Calibri" w:cs="Calibri"/>
                <w:color w:val="222222"/>
                <w:sz w:val="18"/>
                <w:szCs w:val="18"/>
                <w:lang w:val="fr-FR"/>
              </w:rPr>
              <w:t>Opex cible, t CO₂ évitées, emplois locaux</w:t>
            </w:r>
          </w:p>
        </w:tc>
      </w:tr>
      <w:tr w:rsidR="008E7E6D" w:rsidRPr="008308F6" w14:paraId="14B8E3B2" w14:textId="77777777">
        <w:tblPrEx>
          <w:tblCellMar>
            <w:top w:w="0" w:type="dxa"/>
            <w:bottom w:w="0" w:type="dxa"/>
          </w:tblCellMar>
        </w:tblPrEx>
        <w:tc>
          <w:tcPr>
            <w:tcW w:w="1800" w:type="dxa"/>
            <w:tcMar>
              <w:top w:w="80" w:type="dxa"/>
              <w:left w:w="100" w:type="dxa"/>
              <w:bottom w:w="80" w:type="dxa"/>
              <w:right w:w="100" w:type="dxa"/>
            </w:tcMar>
          </w:tcPr>
          <w:p w14:paraId="359DFE9D" w14:textId="77777777" w:rsidR="008E7E6D" w:rsidRDefault="00000000">
            <w:r>
              <w:rPr>
                <w:rFonts w:ascii="Calibri" w:eastAsia="Calibri" w:hAnsi="Calibri" w:cs="Calibri"/>
                <w:color w:val="222222"/>
                <w:sz w:val="18"/>
                <w:szCs w:val="18"/>
              </w:rPr>
              <w:t>Banque ROI</w:t>
            </w:r>
          </w:p>
        </w:tc>
        <w:tc>
          <w:tcPr>
            <w:tcW w:w="3600" w:type="dxa"/>
            <w:tcMar>
              <w:top w:w="80" w:type="dxa"/>
              <w:left w:w="100" w:type="dxa"/>
              <w:bottom w:w="80" w:type="dxa"/>
              <w:right w:w="100" w:type="dxa"/>
            </w:tcMar>
          </w:tcPr>
          <w:p w14:paraId="093D91AC" w14:textId="77777777" w:rsidR="008E7E6D" w:rsidRPr="008308F6" w:rsidRDefault="00000000">
            <w:pPr>
              <w:rPr>
                <w:lang w:val="fr-FR"/>
              </w:rPr>
            </w:pPr>
            <w:r w:rsidRPr="008308F6">
              <w:rPr>
                <w:rFonts w:ascii="Calibri" w:eastAsia="Calibri" w:hAnsi="Calibri" w:cs="Calibri"/>
                <w:color w:val="222222"/>
                <w:sz w:val="18"/>
                <w:szCs w:val="18"/>
                <w:lang w:val="fr-FR"/>
              </w:rPr>
              <w:t>Aides (Fonds chaleur, CEE ×5, Fonds vert), dette, inflation énergie</w:t>
            </w:r>
          </w:p>
        </w:tc>
        <w:tc>
          <w:tcPr>
            <w:tcW w:w="3600" w:type="dxa"/>
            <w:tcMar>
              <w:top w:w="80" w:type="dxa"/>
              <w:left w:w="100" w:type="dxa"/>
              <w:bottom w:w="80" w:type="dxa"/>
              <w:right w:w="100" w:type="dxa"/>
            </w:tcMar>
          </w:tcPr>
          <w:p w14:paraId="1A0A35A6" w14:textId="77777777" w:rsidR="008E7E6D" w:rsidRPr="008308F6" w:rsidRDefault="00000000">
            <w:pPr>
              <w:rPr>
                <w:lang w:val="fr-FR"/>
              </w:rPr>
            </w:pPr>
            <w:proofErr w:type="spellStart"/>
            <w:r w:rsidRPr="008308F6">
              <w:rPr>
                <w:rFonts w:ascii="Calibri" w:eastAsia="Calibri" w:hAnsi="Calibri" w:cs="Calibri"/>
                <w:color w:val="222222"/>
                <w:sz w:val="18"/>
                <w:szCs w:val="18"/>
                <w:lang w:val="fr-FR"/>
              </w:rPr>
              <w:t>Payback</w:t>
            </w:r>
            <w:proofErr w:type="spellEnd"/>
            <w:r w:rsidRPr="008308F6">
              <w:rPr>
                <w:rFonts w:ascii="Calibri" w:eastAsia="Calibri" w:hAnsi="Calibri" w:cs="Calibri"/>
                <w:color w:val="222222"/>
                <w:sz w:val="18"/>
                <w:szCs w:val="18"/>
                <w:lang w:val="fr-FR"/>
              </w:rPr>
              <w:t xml:space="preserve"> 10–20 ans · VAN 25 et 40 ans</w:t>
            </w:r>
          </w:p>
        </w:tc>
      </w:tr>
    </w:tbl>
    <w:p w14:paraId="56E49354" w14:textId="77777777" w:rsidR="008308F6" w:rsidRDefault="008308F6">
      <w:pPr>
        <w:spacing w:before="260" w:after="120"/>
        <w:rPr>
          <w:rFonts w:ascii="Calibri" w:eastAsia="Calibri" w:hAnsi="Calibri" w:cs="Calibri"/>
          <w:b/>
          <w:bCs/>
          <w:color w:val="1F6F5C"/>
          <w:sz w:val="24"/>
          <w:szCs w:val="24"/>
          <w:lang w:val="fr-FR"/>
        </w:rPr>
      </w:pPr>
    </w:p>
    <w:p w14:paraId="6132ED03" w14:textId="77777777" w:rsidR="008308F6" w:rsidRDefault="008308F6">
      <w:pPr>
        <w:rPr>
          <w:rFonts w:ascii="Calibri" w:eastAsia="Calibri" w:hAnsi="Calibri" w:cs="Calibri"/>
          <w:b/>
          <w:bCs/>
          <w:color w:val="1F6F5C"/>
          <w:sz w:val="24"/>
          <w:szCs w:val="24"/>
          <w:lang w:val="fr-FR"/>
        </w:rPr>
      </w:pPr>
      <w:r>
        <w:rPr>
          <w:rFonts w:ascii="Calibri" w:eastAsia="Calibri" w:hAnsi="Calibri" w:cs="Calibri"/>
          <w:b/>
          <w:bCs/>
          <w:color w:val="1F6F5C"/>
          <w:sz w:val="24"/>
          <w:szCs w:val="24"/>
          <w:lang w:val="fr-FR"/>
        </w:rPr>
        <w:lastRenderedPageBreak/>
        <w:br w:type="page"/>
      </w:r>
    </w:p>
    <w:p w14:paraId="1403D498" w14:textId="19F4D8EE" w:rsidR="008E7E6D" w:rsidRPr="008308F6" w:rsidRDefault="00000000">
      <w:pPr>
        <w:spacing w:before="260" w:after="120"/>
        <w:rPr>
          <w:lang w:val="fr-FR"/>
        </w:rPr>
      </w:pPr>
      <w:proofErr w:type="gramStart"/>
      <w:r w:rsidRPr="008308F6">
        <w:rPr>
          <w:rFonts w:ascii="Calibri" w:eastAsia="Calibri" w:hAnsi="Calibri" w:cs="Calibri"/>
          <w:b/>
          <w:bCs/>
          <w:color w:val="1F6F5C"/>
          <w:sz w:val="24"/>
          <w:szCs w:val="24"/>
          <w:lang w:val="fr-FR"/>
        </w:rPr>
        <w:lastRenderedPageBreak/>
        <w:t>7.3  Message</w:t>
      </w:r>
      <w:proofErr w:type="gramEnd"/>
      <w:r w:rsidRPr="008308F6">
        <w:rPr>
          <w:rFonts w:ascii="Calibri" w:eastAsia="Calibri" w:hAnsi="Calibri" w:cs="Calibri"/>
          <w:b/>
          <w:bCs/>
          <w:color w:val="1F6F5C"/>
          <w:sz w:val="24"/>
          <w:szCs w:val="24"/>
          <w:lang w:val="fr-FR"/>
        </w:rPr>
        <w:t xml:space="preserve"> économique à faire passer</w:t>
      </w:r>
    </w:p>
    <w:p w14:paraId="71FF9625" w14:textId="77777777" w:rsidR="008E7E6D" w:rsidRPr="008308F6" w:rsidRDefault="00000000">
      <w:pPr>
        <w:spacing w:after="160" w:line="276" w:lineRule="auto"/>
        <w:jc w:val="both"/>
        <w:rPr>
          <w:lang w:val="fr-FR"/>
        </w:rPr>
      </w:pPr>
      <w:r w:rsidRPr="008308F6">
        <w:rPr>
          <w:rFonts w:ascii="Calibri" w:eastAsia="Calibri" w:hAnsi="Calibri" w:cs="Calibri"/>
          <w:color w:val="222222"/>
          <w:sz w:val="21"/>
          <w:szCs w:val="21"/>
          <w:lang w:val="fr-FR"/>
        </w:rPr>
        <w:t>Un maître d'ouvrage qui « attend une aide plus stable » continue de payer, chaque hiver et chaque canicule, le prix plein de la non-souveraineté. L'attentisme n'est pas neutre : il capitalise une facture. +EECM rend ce coût d'attente visible. C'est précisément le mécanisme décrit par Cindy Demichel — le regain d'intérêt sans prise de décision — que l'outil doit casser, dossier par dossier, conseil municipal par conseil municipal.</w:t>
      </w:r>
    </w:p>
    <w:p w14:paraId="752FFBDB" w14:textId="77777777" w:rsidR="008E7E6D" w:rsidRPr="008308F6" w:rsidRDefault="00000000">
      <w:pPr>
        <w:spacing w:after="160" w:line="276" w:lineRule="auto"/>
        <w:jc w:val="both"/>
        <w:rPr>
          <w:lang w:val="fr-FR"/>
        </w:rPr>
      </w:pPr>
      <w:r w:rsidRPr="008308F6">
        <w:rPr>
          <w:rFonts w:ascii="Calibri" w:eastAsia="Calibri" w:hAnsi="Calibri" w:cs="Calibri"/>
          <w:color w:val="222222"/>
          <w:sz w:val="21"/>
          <w:szCs w:val="21"/>
          <w:lang w:val="fr-FR"/>
        </w:rPr>
        <w:t>Cible de rentabilité : 10 à 20 ans en moyenne pour passer d'un système importé peu efficace à un système souverain plus efficace. Cet intervalle correspond au temps de retour observé sur les opérations collectives et réseaux bien dimensionnés (souvent 7–13 ans en profond quand le réservoir répond, 12–20 ans en surface hors aides maximales), à une à deux mandatures municipales, à la première vie de la PAC alors que l'échangeur souterrain continue, et à un horizon de dette verte et de contrats de performance énergétique.</w:t>
      </w:r>
    </w:p>
    <w:p w14:paraId="4CDDE87C" w14:textId="77777777" w:rsidR="008E7E6D" w:rsidRPr="008308F6" w:rsidRDefault="00000000">
      <w:pPr>
        <w:spacing w:before="260" w:after="120"/>
        <w:rPr>
          <w:lang w:val="fr-FR"/>
        </w:rPr>
      </w:pPr>
      <w:proofErr w:type="gramStart"/>
      <w:r w:rsidRPr="008308F6">
        <w:rPr>
          <w:rFonts w:ascii="Calibri" w:eastAsia="Calibri" w:hAnsi="Calibri" w:cs="Calibri"/>
          <w:b/>
          <w:bCs/>
          <w:color w:val="1F6F5C"/>
          <w:sz w:val="24"/>
          <w:szCs w:val="24"/>
          <w:lang w:val="fr-FR"/>
        </w:rPr>
        <w:t>7.4  Articulation</w:t>
      </w:r>
      <w:proofErr w:type="gramEnd"/>
      <w:r w:rsidRPr="008308F6">
        <w:rPr>
          <w:rFonts w:ascii="Calibri" w:eastAsia="Calibri" w:hAnsi="Calibri" w:cs="Calibri"/>
          <w:b/>
          <w:bCs/>
          <w:color w:val="1F6F5C"/>
          <w:sz w:val="24"/>
          <w:szCs w:val="24"/>
          <w:lang w:val="fr-FR"/>
        </w:rPr>
        <w:t xml:space="preserve"> avec les outils publics existants</w:t>
      </w:r>
    </w:p>
    <w:p w14:paraId="782CB47C" w14:textId="77777777" w:rsidR="008E7E6D" w:rsidRPr="008308F6" w:rsidRDefault="00000000">
      <w:pPr>
        <w:spacing w:after="160" w:line="276" w:lineRule="auto"/>
        <w:jc w:val="both"/>
        <w:rPr>
          <w:lang w:val="fr-FR"/>
        </w:rPr>
      </w:pPr>
      <w:proofErr w:type="spellStart"/>
      <w:r w:rsidRPr="008308F6">
        <w:rPr>
          <w:rFonts w:ascii="Calibri" w:eastAsia="Calibri" w:hAnsi="Calibri" w:cs="Calibri"/>
          <w:color w:val="222222"/>
          <w:sz w:val="21"/>
          <w:szCs w:val="21"/>
          <w:lang w:val="fr-FR"/>
        </w:rPr>
        <w:t>BatEnR</w:t>
      </w:r>
      <w:proofErr w:type="spellEnd"/>
      <w:r w:rsidRPr="008308F6">
        <w:rPr>
          <w:rFonts w:ascii="Calibri" w:eastAsia="Calibri" w:hAnsi="Calibri" w:cs="Calibri"/>
          <w:color w:val="222222"/>
          <w:sz w:val="21"/>
          <w:szCs w:val="21"/>
          <w:lang w:val="fr-FR"/>
        </w:rPr>
        <w:t xml:space="preserve"> caractérise, bâtiment par bâtiment, le potentiel EnR thermique (réseau, nappe, sondes, solaire thermique, bois, PAC air). +EECM s'en nourrit et ajoute la couche que le décideur demande vraiment : le prix aujourd'hui payé sans souveraineté, et le chemin de cash-flow jusqu'au ROI. Les fiches CEE BAR-TH-178 (résidentiel collectif) et BAT-TH-162 (tertiaire), bonifiées ×5 jusqu'en 2030, doivent être intégrées d'office dans le moteur financier, de même que le Fonds chaleur et, pour les collectivités, le Fonds vert lorsqu'il est ouvert.</w:t>
      </w:r>
    </w:p>
    <w:p w14:paraId="6614F846" w14:textId="77777777" w:rsidR="008E7E6D" w:rsidRPr="008308F6" w:rsidRDefault="00000000">
      <w:pPr>
        <w:pStyle w:val="Heading1"/>
        <w:pBdr>
          <w:bottom w:val="single" w:sz="6" w:space="4" w:color="1B3A54"/>
        </w:pBdr>
        <w:spacing w:before="420" w:after="200"/>
        <w:rPr>
          <w:lang w:val="fr-FR"/>
        </w:rPr>
      </w:pPr>
      <w:bookmarkStart w:id="7" w:name="_Toc240015685"/>
      <w:r w:rsidRPr="008308F6">
        <w:rPr>
          <w:rFonts w:ascii="Calibri" w:eastAsia="Calibri" w:hAnsi="Calibri" w:cs="Calibri"/>
          <w:b/>
          <w:bCs/>
          <w:color w:val="1B3A54"/>
          <w:sz w:val="30"/>
          <w:szCs w:val="30"/>
          <w:lang w:val="fr-FR"/>
        </w:rPr>
        <w:t>8.  Massification en Europe — rentabiliser les formations, fiabiliser le personnel</w:t>
      </w:r>
      <w:bookmarkEnd w:id="7"/>
    </w:p>
    <w:p w14:paraId="4D857F9A" w14:textId="77777777" w:rsidR="008E7E6D" w:rsidRPr="008308F6" w:rsidRDefault="00000000">
      <w:pPr>
        <w:spacing w:before="260" w:after="120"/>
        <w:rPr>
          <w:lang w:val="fr-FR"/>
        </w:rPr>
      </w:pPr>
      <w:proofErr w:type="gramStart"/>
      <w:r w:rsidRPr="008308F6">
        <w:rPr>
          <w:rFonts w:ascii="Calibri" w:eastAsia="Calibri" w:hAnsi="Calibri" w:cs="Calibri"/>
          <w:b/>
          <w:bCs/>
          <w:color w:val="1F6F5C"/>
          <w:sz w:val="24"/>
          <w:szCs w:val="24"/>
          <w:lang w:val="fr-FR"/>
        </w:rPr>
        <w:t>8.1  Pourquoi</w:t>
      </w:r>
      <w:proofErr w:type="gramEnd"/>
      <w:r w:rsidRPr="008308F6">
        <w:rPr>
          <w:rFonts w:ascii="Calibri" w:eastAsia="Calibri" w:hAnsi="Calibri" w:cs="Calibri"/>
          <w:b/>
          <w:bCs/>
          <w:color w:val="1F6F5C"/>
          <w:sz w:val="24"/>
          <w:szCs w:val="24"/>
          <w:lang w:val="fr-FR"/>
        </w:rPr>
        <w:t xml:space="preserve"> l'échelle doit être européenne</w:t>
      </w:r>
    </w:p>
    <w:p w14:paraId="157D1F8C" w14:textId="77777777" w:rsidR="008E7E6D" w:rsidRPr="008308F6" w:rsidRDefault="00000000">
      <w:pPr>
        <w:spacing w:after="160" w:line="276" w:lineRule="auto"/>
        <w:jc w:val="both"/>
        <w:rPr>
          <w:lang w:val="fr-FR"/>
        </w:rPr>
      </w:pPr>
      <w:r w:rsidRPr="008308F6">
        <w:rPr>
          <w:rFonts w:ascii="Calibri" w:eastAsia="Calibri" w:hAnsi="Calibri" w:cs="Calibri"/>
          <w:color w:val="222222"/>
          <w:sz w:val="21"/>
          <w:szCs w:val="21"/>
          <w:lang w:val="fr-FR"/>
        </w:rPr>
        <w:t>Un marché national trop étroit tue les industrialisations naissantes — Celsius Energy en est la preuve comptable (CA en hausse, pertes persistantes, arrêt commercial). L'Europe a le sous-sol, les bassins sédimentaires, le savoir forage pétrolier et un objectif EGEC : jusqu'à 25 % de la demande de chaleur et de froid. Ember Energy (2026) estime ~43 GW de potentiel EGS sous 100 €/MWh dans l'UE (Hongrie, Pologne, Allemagne, France en tête). Rester en 27 régimes d'autorisation et 27 régimes d'aides, c'est choisir de ne jamais descendre le coût au mètre.</w:t>
      </w:r>
    </w:p>
    <w:p w14:paraId="7C300736" w14:textId="77777777" w:rsidR="008E7E6D" w:rsidRPr="008308F6" w:rsidRDefault="00000000">
      <w:pPr>
        <w:spacing w:after="160" w:line="276" w:lineRule="auto"/>
        <w:jc w:val="both"/>
        <w:rPr>
          <w:lang w:val="fr-FR"/>
        </w:rPr>
      </w:pPr>
      <w:r w:rsidRPr="008308F6">
        <w:rPr>
          <w:rFonts w:ascii="Calibri" w:eastAsia="Calibri" w:hAnsi="Calibri" w:cs="Calibri"/>
          <w:color w:val="222222"/>
          <w:sz w:val="21"/>
          <w:szCs w:val="21"/>
          <w:lang w:val="fr-FR"/>
        </w:rPr>
        <w:t>La massification n'est pas « plus de subventions ». C'est un carnet de commandes pluriannuel assez épais pour faire tourner les appareils et les équipes 200 jours ou plus par an au lieu de les déplacer de chantier en chantier, standardiser les Ø, les programmes de cimentation, les sondes, les SOP, amortir les écoles (EFF / GRETA / BRGM / Régions / France Travail) sur des mètres réellement forés, et fixer le personnel — le contraire de la précarité actuelle des métiers de base.</w:t>
      </w:r>
    </w:p>
    <w:p w14:paraId="59919C26" w14:textId="77777777" w:rsidR="008E7E6D" w:rsidRPr="008308F6" w:rsidRDefault="00000000">
      <w:pPr>
        <w:spacing w:before="260" w:after="120"/>
        <w:rPr>
          <w:lang w:val="fr-FR"/>
        </w:rPr>
      </w:pPr>
      <w:proofErr w:type="gramStart"/>
      <w:r w:rsidRPr="008308F6">
        <w:rPr>
          <w:rFonts w:ascii="Calibri" w:eastAsia="Calibri" w:hAnsi="Calibri" w:cs="Calibri"/>
          <w:b/>
          <w:bCs/>
          <w:color w:val="1F6F5C"/>
          <w:sz w:val="24"/>
          <w:szCs w:val="24"/>
          <w:lang w:val="fr-FR"/>
        </w:rPr>
        <w:t>8.2  Formations</w:t>
      </w:r>
      <w:proofErr w:type="gramEnd"/>
      <w:r w:rsidRPr="008308F6">
        <w:rPr>
          <w:rFonts w:ascii="Calibri" w:eastAsia="Calibri" w:hAnsi="Calibri" w:cs="Calibri"/>
          <w:b/>
          <w:bCs/>
          <w:color w:val="1F6F5C"/>
          <w:sz w:val="24"/>
          <w:szCs w:val="24"/>
          <w:lang w:val="fr-FR"/>
        </w:rPr>
        <w:t xml:space="preserve"> : condition de rentabilité</w:t>
      </w:r>
    </w:p>
    <w:p w14:paraId="42204F79" w14:textId="77777777" w:rsidR="008E7E6D" w:rsidRPr="008308F6" w:rsidRDefault="00000000">
      <w:pPr>
        <w:spacing w:after="160" w:line="276" w:lineRule="auto"/>
        <w:jc w:val="both"/>
        <w:rPr>
          <w:lang w:val="fr-FR"/>
        </w:rPr>
      </w:pPr>
      <w:r w:rsidRPr="008308F6">
        <w:rPr>
          <w:rFonts w:ascii="Calibri" w:eastAsia="Calibri" w:hAnsi="Calibri" w:cs="Calibri"/>
          <w:color w:val="222222"/>
          <w:sz w:val="21"/>
          <w:szCs w:val="21"/>
          <w:lang w:val="fr-FR"/>
        </w:rPr>
        <w:t xml:space="preserve">Une session aide-foreur GMI (15–200 m) ou une montée </w:t>
      </w:r>
      <w:proofErr w:type="spellStart"/>
      <w:r w:rsidRPr="008308F6">
        <w:rPr>
          <w:rFonts w:ascii="Calibri" w:eastAsia="Calibri" w:hAnsi="Calibri" w:cs="Calibri"/>
          <w:color w:val="222222"/>
          <w:sz w:val="21"/>
          <w:szCs w:val="21"/>
          <w:lang w:val="fr-FR"/>
        </w:rPr>
        <w:t>mud</w:t>
      </w:r>
      <w:proofErr w:type="spellEnd"/>
      <w:r w:rsidRPr="008308F6">
        <w:rPr>
          <w:rFonts w:ascii="Calibri" w:eastAsia="Calibri" w:hAnsi="Calibri" w:cs="Calibri"/>
          <w:color w:val="222222"/>
          <w:sz w:val="21"/>
          <w:szCs w:val="21"/>
          <w:lang w:val="fr-FR"/>
        </w:rPr>
        <w:t xml:space="preserve"> logger / Dogger n'a de sens économique que si le diplômé enchaîne des mètres. Sinon l'école forme pour le chômage ou pour l'export des compétences. La massification est donc un investissement dans le capital humain autant que dans le sous-sol.</w:t>
      </w:r>
    </w:p>
    <w:tbl>
      <w:tblPr>
        <w:tblW w:w="9000" w:type="dxa"/>
        <w:tblBorders>
          <w:top w:val="single" w:sz="2" w:space="0" w:color="CCCCCC"/>
          <w:left w:val="single" w:sz="2" w:space="0" w:color="CCCCCC"/>
          <w:bottom w:val="single" w:sz="2" w:space="0" w:color="CCCCCC"/>
          <w:right w:val="single" w:sz="2" w:space="0" w:color="CCCCCC"/>
          <w:insideH w:val="single" w:sz="2" w:space="0" w:color="DDDDDD"/>
          <w:insideV w:val="single" w:sz="2" w:space="0" w:color="DDDDDD"/>
        </w:tblBorders>
        <w:tblCellMar>
          <w:left w:w="10" w:type="dxa"/>
          <w:right w:w="10" w:type="dxa"/>
        </w:tblCellMar>
        <w:tblLook w:val="04A0" w:firstRow="1" w:lastRow="0" w:firstColumn="1" w:lastColumn="0" w:noHBand="0" w:noVBand="1"/>
      </w:tblPr>
      <w:tblGrid>
        <w:gridCol w:w="2600"/>
        <w:gridCol w:w="3400"/>
        <w:gridCol w:w="3000"/>
      </w:tblGrid>
      <w:tr w:rsidR="008E7E6D" w14:paraId="0DF3869F" w14:textId="77777777">
        <w:tblPrEx>
          <w:tblCellMar>
            <w:top w:w="0" w:type="dxa"/>
            <w:bottom w:w="0" w:type="dxa"/>
          </w:tblCellMar>
        </w:tblPrEx>
        <w:trPr>
          <w:tblHeader/>
        </w:trPr>
        <w:tc>
          <w:tcPr>
            <w:tcW w:w="2600" w:type="dxa"/>
            <w:shd w:val="clear" w:color="auto" w:fill="1B3A54"/>
            <w:tcMar>
              <w:top w:w="80" w:type="dxa"/>
              <w:left w:w="100" w:type="dxa"/>
              <w:bottom w:w="80" w:type="dxa"/>
              <w:right w:w="100" w:type="dxa"/>
            </w:tcMar>
            <w:vAlign w:val="center"/>
          </w:tcPr>
          <w:p w14:paraId="6C959D7C" w14:textId="77777777" w:rsidR="008E7E6D" w:rsidRDefault="00000000">
            <w:pPr>
              <w:jc w:val="center"/>
            </w:pPr>
            <w:r>
              <w:rPr>
                <w:rFonts w:ascii="Calibri" w:eastAsia="Calibri" w:hAnsi="Calibri" w:cs="Calibri"/>
                <w:b/>
                <w:bCs/>
                <w:color w:val="FFFFFF"/>
                <w:sz w:val="18"/>
                <w:szCs w:val="18"/>
              </w:rPr>
              <w:t>Levier formation</w:t>
            </w:r>
          </w:p>
        </w:tc>
        <w:tc>
          <w:tcPr>
            <w:tcW w:w="3400" w:type="dxa"/>
            <w:shd w:val="clear" w:color="auto" w:fill="1B3A54"/>
            <w:tcMar>
              <w:top w:w="80" w:type="dxa"/>
              <w:left w:w="100" w:type="dxa"/>
              <w:bottom w:w="80" w:type="dxa"/>
              <w:right w:w="100" w:type="dxa"/>
            </w:tcMar>
            <w:vAlign w:val="center"/>
          </w:tcPr>
          <w:p w14:paraId="42C797A8" w14:textId="77777777" w:rsidR="008E7E6D" w:rsidRDefault="00000000">
            <w:pPr>
              <w:jc w:val="center"/>
            </w:pPr>
            <w:proofErr w:type="spellStart"/>
            <w:r>
              <w:rPr>
                <w:rFonts w:ascii="Calibri" w:eastAsia="Calibri" w:hAnsi="Calibri" w:cs="Calibri"/>
                <w:b/>
                <w:bCs/>
                <w:color w:val="FFFFFF"/>
                <w:sz w:val="18"/>
                <w:szCs w:val="18"/>
              </w:rPr>
              <w:t>Effet</w:t>
            </w:r>
            <w:proofErr w:type="spellEnd"/>
            <w:r>
              <w:rPr>
                <w:rFonts w:ascii="Calibri" w:eastAsia="Calibri" w:hAnsi="Calibri" w:cs="Calibri"/>
                <w:b/>
                <w:bCs/>
                <w:color w:val="FFFFFF"/>
                <w:sz w:val="18"/>
                <w:szCs w:val="18"/>
              </w:rPr>
              <w:t xml:space="preserve"> économique</w:t>
            </w:r>
          </w:p>
        </w:tc>
        <w:tc>
          <w:tcPr>
            <w:tcW w:w="3000" w:type="dxa"/>
            <w:shd w:val="clear" w:color="auto" w:fill="1B3A54"/>
            <w:tcMar>
              <w:top w:w="80" w:type="dxa"/>
              <w:left w:w="100" w:type="dxa"/>
              <w:bottom w:w="80" w:type="dxa"/>
              <w:right w:w="100" w:type="dxa"/>
            </w:tcMar>
            <w:vAlign w:val="center"/>
          </w:tcPr>
          <w:p w14:paraId="7E11DA60" w14:textId="77777777" w:rsidR="008E7E6D" w:rsidRDefault="00000000">
            <w:pPr>
              <w:jc w:val="center"/>
            </w:pPr>
            <w:r>
              <w:rPr>
                <w:rFonts w:ascii="Calibri" w:eastAsia="Calibri" w:hAnsi="Calibri" w:cs="Calibri"/>
                <w:b/>
                <w:bCs/>
                <w:color w:val="FFFFFF"/>
                <w:sz w:val="18"/>
                <w:szCs w:val="18"/>
              </w:rPr>
              <w:t>Condition</w:t>
            </w:r>
          </w:p>
        </w:tc>
      </w:tr>
      <w:tr w:rsidR="008E7E6D" w:rsidRPr="008308F6" w14:paraId="1269B1D0" w14:textId="77777777">
        <w:tblPrEx>
          <w:tblCellMar>
            <w:top w:w="0" w:type="dxa"/>
            <w:bottom w:w="0" w:type="dxa"/>
          </w:tblCellMar>
        </w:tblPrEx>
        <w:tc>
          <w:tcPr>
            <w:tcW w:w="2600" w:type="dxa"/>
            <w:tcMar>
              <w:top w:w="80" w:type="dxa"/>
              <w:left w:w="100" w:type="dxa"/>
              <w:bottom w:w="80" w:type="dxa"/>
              <w:right w:w="100" w:type="dxa"/>
            </w:tcMar>
          </w:tcPr>
          <w:p w14:paraId="52802AE6" w14:textId="77777777" w:rsidR="008E7E6D" w:rsidRPr="008308F6" w:rsidRDefault="00000000">
            <w:pPr>
              <w:rPr>
                <w:lang w:val="fr-FR"/>
              </w:rPr>
            </w:pPr>
            <w:r w:rsidRPr="008308F6">
              <w:rPr>
                <w:rFonts w:ascii="Calibri" w:eastAsia="Calibri" w:hAnsi="Calibri" w:cs="Calibri"/>
                <w:color w:val="222222"/>
                <w:sz w:val="18"/>
                <w:szCs w:val="18"/>
                <w:lang w:val="fr-FR"/>
              </w:rPr>
              <w:t>Promotions alignées sur carnets 24 mois</w:t>
            </w:r>
          </w:p>
        </w:tc>
        <w:tc>
          <w:tcPr>
            <w:tcW w:w="3400" w:type="dxa"/>
            <w:tcMar>
              <w:top w:w="80" w:type="dxa"/>
              <w:left w:w="100" w:type="dxa"/>
              <w:bottom w:w="80" w:type="dxa"/>
              <w:right w:w="100" w:type="dxa"/>
            </w:tcMar>
          </w:tcPr>
          <w:p w14:paraId="19FA88AE" w14:textId="77777777" w:rsidR="008E7E6D" w:rsidRPr="008308F6" w:rsidRDefault="00000000">
            <w:pPr>
              <w:rPr>
                <w:lang w:val="fr-FR"/>
              </w:rPr>
            </w:pPr>
            <w:r w:rsidRPr="008308F6">
              <w:rPr>
                <w:rFonts w:ascii="Calibri" w:eastAsia="Calibri" w:hAnsi="Calibri" w:cs="Calibri"/>
                <w:color w:val="222222"/>
                <w:sz w:val="18"/>
                <w:szCs w:val="18"/>
                <w:lang w:val="fr-FR"/>
              </w:rPr>
              <w:t>Taux de placement élevé, coût unitaire de formation ↓</w:t>
            </w:r>
          </w:p>
        </w:tc>
        <w:tc>
          <w:tcPr>
            <w:tcW w:w="3000" w:type="dxa"/>
            <w:tcMar>
              <w:top w:w="80" w:type="dxa"/>
              <w:left w:w="100" w:type="dxa"/>
              <w:bottom w:w="80" w:type="dxa"/>
              <w:right w:w="100" w:type="dxa"/>
            </w:tcMar>
          </w:tcPr>
          <w:p w14:paraId="3B5A4DDC" w14:textId="77777777" w:rsidR="008E7E6D" w:rsidRPr="008308F6" w:rsidRDefault="00000000">
            <w:pPr>
              <w:rPr>
                <w:lang w:val="fr-FR"/>
              </w:rPr>
            </w:pPr>
            <w:r w:rsidRPr="008308F6">
              <w:rPr>
                <w:rFonts w:ascii="Calibri" w:eastAsia="Calibri" w:hAnsi="Calibri" w:cs="Calibri"/>
                <w:color w:val="222222"/>
                <w:sz w:val="18"/>
                <w:szCs w:val="18"/>
                <w:lang w:val="fr-FR"/>
              </w:rPr>
              <w:t>Commandes fermes collectivités / bailleurs / industrie</w:t>
            </w:r>
          </w:p>
        </w:tc>
      </w:tr>
      <w:tr w:rsidR="008E7E6D" w:rsidRPr="008308F6" w14:paraId="1BEF2706" w14:textId="77777777">
        <w:tblPrEx>
          <w:tblCellMar>
            <w:top w:w="0" w:type="dxa"/>
            <w:bottom w:w="0" w:type="dxa"/>
          </w:tblCellMar>
        </w:tblPrEx>
        <w:tc>
          <w:tcPr>
            <w:tcW w:w="2600" w:type="dxa"/>
            <w:shd w:val="clear" w:color="auto" w:fill="F4F4F2"/>
            <w:tcMar>
              <w:top w:w="80" w:type="dxa"/>
              <w:left w:w="100" w:type="dxa"/>
              <w:bottom w:w="80" w:type="dxa"/>
              <w:right w:w="100" w:type="dxa"/>
            </w:tcMar>
          </w:tcPr>
          <w:p w14:paraId="7BD73793" w14:textId="77777777" w:rsidR="008E7E6D" w:rsidRPr="008308F6" w:rsidRDefault="00000000">
            <w:pPr>
              <w:rPr>
                <w:lang w:val="fr-FR"/>
              </w:rPr>
            </w:pPr>
            <w:r w:rsidRPr="008308F6">
              <w:rPr>
                <w:rFonts w:ascii="Calibri" w:eastAsia="Calibri" w:hAnsi="Calibri" w:cs="Calibri"/>
                <w:color w:val="222222"/>
                <w:sz w:val="18"/>
                <w:szCs w:val="18"/>
                <w:lang w:val="fr-FR"/>
              </w:rPr>
              <w:t>SOP unique de forage (anti-obfuscation ISO)</w:t>
            </w:r>
          </w:p>
        </w:tc>
        <w:tc>
          <w:tcPr>
            <w:tcW w:w="3400" w:type="dxa"/>
            <w:shd w:val="clear" w:color="auto" w:fill="F4F4F2"/>
            <w:tcMar>
              <w:top w:w="80" w:type="dxa"/>
              <w:left w:w="100" w:type="dxa"/>
              <w:bottom w:w="80" w:type="dxa"/>
              <w:right w:w="100" w:type="dxa"/>
            </w:tcMar>
          </w:tcPr>
          <w:p w14:paraId="0A7BF964" w14:textId="77777777" w:rsidR="008E7E6D" w:rsidRPr="008308F6" w:rsidRDefault="00000000">
            <w:pPr>
              <w:rPr>
                <w:lang w:val="fr-FR"/>
              </w:rPr>
            </w:pPr>
            <w:r w:rsidRPr="008308F6">
              <w:rPr>
                <w:rFonts w:ascii="Calibri" w:eastAsia="Calibri" w:hAnsi="Calibri" w:cs="Calibri"/>
                <w:color w:val="222222"/>
                <w:sz w:val="18"/>
                <w:szCs w:val="18"/>
                <w:lang w:val="fr-FR"/>
              </w:rPr>
              <w:t>Moins d'accidents, moins de non-qualité, revues rapides</w:t>
            </w:r>
          </w:p>
        </w:tc>
        <w:tc>
          <w:tcPr>
            <w:tcW w:w="3000" w:type="dxa"/>
            <w:shd w:val="clear" w:color="auto" w:fill="F4F4F2"/>
            <w:tcMar>
              <w:top w:w="80" w:type="dxa"/>
              <w:left w:w="100" w:type="dxa"/>
              <w:bottom w:w="80" w:type="dxa"/>
              <w:right w:w="100" w:type="dxa"/>
            </w:tcMar>
          </w:tcPr>
          <w:p w14:paraId="511B35E3" w14:textId="77777777" w:rsidR="008E7E6D" w:rsidRPr="008308F6" w:rsidRDefault="00000000">
            <w:pPr>
              <w:rPr>
                <w:lang w:val="fr-FR"/>
              </w:rPr>
            </w:pPr>
            <w:r w:rsidRPr="008308F6">
              <w:rPr>
                <w:rFonts w:ascii="Calibri" w:eastAsia="Calibri" w:hAnsi="Calibri" w:cs="Calibri"/>
                <w:color w:val="222222"/>
                <w:sz w:val="18"/>
                <w:szCs w:val="18"/>
                <w:lang w:val="fr-FR"/>
              </w:rPr>
              <w:t>Adoption filière + conditionnalité des aides (§5.3)</w:t>
            </w:r>
          </w:p>
        </w:tc>
      </w:tr>
      <w:tr w:rsidR="008E7E6D" w:rsidRPr="008308F6" w14:paraId="2F9BE663" w14:textId="77777777">
        <w:tblPrEx>
          <w:tblCellMar>
            <w:top w:w="0" w:type="dxa"/>
            <w:bottom w:w="0" w:type="dxa"/>
          </w:tblCellMar>
        </w:tblPrEx>
        <w:tc>
          <w:tcPr>
            <w:tcW w:w="2600" w:type="dxa"/>
            <w:tcMar>
              <w:top w:w="80" w:type="dxa"/>
              <w:left w:w="100" w:type="dxa"/>
              <w:bottom w:w="80" w:type="dxa"/>
              <w:right w:w="100" w:type="dxa"/>
            </w:tcMar>
          </w:tcPr>
          <w:p w14:paraId="40B8D7B0" w14:textId="77777777" w:rsidR="008E7E6D" w:rsidRPr="008308F6" w:rsidRDefault="00000000">
            <w:pPr>
              <w:rPr>
                <w:lang w:val="fr-FR"/>
              </w:rPr>
            </w:pPr>
            <w:r w:rsidRPr="008308F6">
              <w:rPr>
                <w:rFonts w:ascii="Calibri" w:eastAsia="Calibri" w:hAnsi="Calibri" w:cs="Calibri"/>
                <w:color w:val="222222"/>
                <w:sz w:val="18"/>
                <w:szCs w:val="18"/>
                <w:lang w:val="fr-FR"/>
              </w:rPr>
              <w:t>Passage terrain des instructeurs et des réviseurs</w:t>
            </w:r>
          </w:p>
        </w:tc>
        <w:tc>
          <w:tcPr>
            <w:tcW w:w="3400" w:type="dxa"/>
            <w:tcMar>
              <w:top w:w="80" w:type="dxa"/>
              <w:left w:w="100" w:type="dxa"/>
              <w:bottom w:w="80" w:type="dxa"/>
              <w:right w:w="100" w:type="dxa"/>
            </w:tcMar>
          </w:tcPr>
          <w:p w14:paraId="0E3751DC" w14:textId="77777777" w:rsidR="008E7E6D" w:rsidRPr="008308F6" w:rsidRDefault="00000000">
            <w:pPr>
              <w:rPr>
                <w:lang w:val="fr-FR"/>
              </w:rPr>
            </w:pPr>
            <w:r w:rsidRPr="008308F6">
              <w:rPr>
                <w:rFonts w:ascii="Calibri" w:eastAsia="Calibri" w:hAnsi="Calibri" w:cs="Calibri"/>
                <w:color w:val="222222"/>
                <w:sz w:val="18"/>
                <w:szCs w:val="18"/>
                <w:lang w:val="fr-FR"/>
              </w:rPr>
              <w:t>Écart plan / réalité détecté en heures, pas en mois</w:t>
            </w:r>
          </w:p>
        </w:tc>
        <w:tc>
          <w:tcPr>
            <w:tcW w:w="3000" w:type="dxa"/>
            <w:tcMar>
              <w:top w:w="80" w:type="dxa"/>
              <w:left w:w="100" w:type="dxa"/>
              <w:bottom w:w="80" w:type="dxa"/>
              <w:right w:w="100" w:type="dxa"/>
            </w:tcMar>
          </w:tcPr>
          <w:p w14:paraId="7B4C0D01" w14:textId="77777777" w:rsidR="008E7E6D" w:rsidRPr="008308F6" w:rsidRDefault="00000000">
            <w:pPr>
              <w:rPr>
                <w:lang w:val="fr-FR"/>
              </w:rPr>
            </w:pPr>
            <w:r w:rsidRPr="008308F6">
              <w:rPr>
                <w:rFonts w:ascii="Calibri" w:eastAsia="Calibri" w:hAnsi="Calibri" w:cs="Calibri"/>
                <w:color w:val="222222"/>
                <w:sz w:val="18"/>
                <w:szCs w:val="18"/>
                <w:lang w:val="fr-FR"/>
              </w:rPr>
              <w:t>Présence chantier obligatoire pour les revues DREAL/ADEME</w:t>
            </w:r>
          </w:p>
        </w:tc>
      </w:tr>
      <w:tr w:rsidR="008E7E6D" w14:paraId="6355B9A7" w14:textId="77777777">
        <w:tblPrEx>
          <w:tblCellMar>
            <w:top w:w="0" w:type="dxa"/>
            <w:bottom w:w="0" w:type="dxa"/>
          </w:tblCellMar>
        </w:tblPrEx>
        <w:tc>
          <w:tcPr>
            <w:tcW w:w="2600" w:type="dxa"/>
            <w:shd w:val="clear" w:color="auto" w:fill="F4F4F2"/>
            <w:tcMar>
              <w:top w:w="80" w:type="dxa"/>
              <w:left w:w="100" w:type="dxa"/>
              <w:bottom w:w="80" w:type="dxa"/>
              <w:right w:w="100" w:type="dxa"/>
            </w:tcMar>
          </w:tcPr>
          <w:p w14:paraId="0AE22395" w14:textId="77777777" w:rsidR="008E7E6D" w:rsidRDefault="00000000">
            <w:r>
              <w:rPr>
                <w:rFonts w:ascii="Calibri" w:eastAsia="Calibri" w:hAnsi="Calibri" w:cs="Calibri"/>
                <w:color w:val="222222"/>
                <w:sz w:val="18"/>
                <w:szCs w:val="18"/>
              </w:rPr>
              <w:lastRenderedPageBreak/>
              <w:t xml:space="preserve">Revalorisation </w:t>
            </w:r>
            <w:proofErr w:type="spellStart"/>
            <w:r>
              <w:rPr>
                <w:rFonts w:ascii="Calibri" w:eastAsia="Calibri" w:hAnsi="Calibri" w:cs="Calibri"/>
                <w:color w:val="222222"/>
                <w:sz w:val="18"/>
                <w:szCs w:val="18"/>
              </w:rPr>
              <w:t>métiers</w:t>
            </w:r>
            <w:proofErr w:type="spellEnd"/>
            <w:r>
              <w:rPr>
                <w:rFonts w:ascii="Calibri" w:eastAsia="Calibri" w:hAnsi="Calibri" w:cs="Calibri"/>
                <w:color w:val="222222"/>
                <w:sz w:val="18"/>
                <w:szCs w:val="18"/>
              </w:rPr>
              <w:t xml:space="preserve"> de base</w:t>
            </w:r>
          </w:p>
        </w:tc>
        <w:tc>
          <w:tcPr>
            <w:tcW w:w="3400" w:type="dxa"/>
            <w:shd w:val="clear" w:color="auto" w:fill="F4F4F2"/>
            <w:tcMar>
              <w:top w:w="80" w:type="dxa"/>
              <w:left w:w="100" w:type="dxa"/>
              <w:bottom w:w="80" w:type="dxa"/>
              <w:right w:w="100" w:type="dxa"/>
            </w:tcMar>
          </w:tcPr>
          <w:p w14:paraId="207BC6C6" w14:textId="77777777" w:rsidR="008E7E6D" w:rsidRPr="008308F6" w:rsidRDefault="00000000">
            <w:pPr>
              <w:rPr>
                <w:lang w:val="fr-FR"/>
              </w:rPr>
            </w:pPr>
            <w:r w:rsidRPr="008308F6">
              <w:rPr>
                <w:rFonts w:ascii="Calibri" w:eastAsia="Calibri" w:hAnsi="Calibri" w:cs="Calibri"/>
                <w:color w:val="222222"/>
                <w:sz w:val="18"/>
                <w:szCs w:val="18"/>
                <w:lang w:val="fr-FR"/>
              </w:rPr>
              <w:t>Fidélisation, moins de turn-over, ROP et sécurité ↑</w:t>
            </w:r>
          </w:p>
        </w:tc>
        <w:tc>
          <w:tcPr>
            <w:tcW w:w="3000" w:type="dxa"/>
            <w:shd w:val="clear" w:color="auto" w:fill="F4F4F2"/>
            <w:tcMar>
              <w:top w:w="80" w:type="dxa"/>
              <w:left w:w="100" w:type="dxa"/>
              <w:bottom w:w="80" w:type="dxa"/>
              <w:right w:w="100" w:type="dxa"/>
            </w:tcMar>
          </w:tcPr>
          <w:p w14:paraId="478563E2" w14:textId="77777777" w:rsidR="008E7E6D" w:rsidRDefault="00000000">
            <w:r>
              <w:rPr>
                <w:rFonts w:ascii="Calibri" w:eastAsia="Calibri" w:hAnsi="Calibri" w:cs="Calibri"/>
                <w:color w:val="222222"/>
                <w:sz w:val="18"/>
                <w:szCs w:val="18"/>
              </w:rPr>
              <w:t xml:space="preserve">Cadence </w:t>
            </w:r>
            <w:proofErr w:type="spellStart"/>
            <w:r>
              <w:rPr>
                <w:rFonts w:ascii="Calibri" w:eastAsia="Calibri" w:hAnsi="Calibri" w:cs="Calibri"/>
                <w:color w:val="222222"/>
                <w:sz w:val="18"/>
                <w:szCs w:val="18"/>
              </w:rPr>
              <w:t>industrielle</w:t>
            </w:r>
            <w:proofErr w:type="spellEnd"/>
            <w:r>
              <w:rPr>
                <w:rFonts w:ascii="Calibri" w:eastAsia="Calibri" w:hAnsi="Calibri" w:cs="Calibri"/>
                <w:color w:val="222222"/>
                <w:sz w:val="18"/>
                <w:szCs w:val="18"/>
              </w:rPr>
              <w:t xml:space="preserve"> + </w:t>
            </w:r>
            <w:proofErr w:type="spellStart"/>
            <w:r>
              <w:rPr>
                <w:rFonts w:ascii="Calibri" w:eastAsia="Calibri" w:hAnsi="Calibri" w:cs="Calibri"/>
                <w:color w:val="222222"/>
                <w:sz w:val="18"/>
                <w:szCs w:val="18"/>
              </w:rPr>
              <w:t>hébergement</w:t>
            </w:r>
            <w:proofErr w:type="spellEnd"/>
            <w:r>
              <w:rPr>
                <w:rFonts w:ascii="Calibri" w:eastAsia="Calibri" w:hAnsi="Calibri" w:cs="Calibri"/>
                <w:color w:val="222222"/>
                <w:sz w:val="18"/>
                <w:szCs w:val="18"/>
              </w:rPr>
              <w:t xml:space="preserve"> </w:t>
            </w:r>
            <w:proofErr w:type="spellStart"/>
            <w:r>
              <w:rPr>
                <w:rFonts w:ascii="Calibri" w:eastAsia="Calibri" w:hAnsi="Calibri" w:cs="Calibri"/>
                <w:color w:val="222222"/>
                <w:sz w:val="18"/>
                <w:szCs w:val="18"/>
              </w:rPr>
              <w:t>décent</w:t>
            </w:r>
            <w:proofErr w:type="spellEnd"/>
          </w:p>
        </w:tc>
      </w:tr>
      <w:tr w:rsidR="008E7E6D" w:rsidRPr="008308F6" w14:paraId="55236638" w14:textId="77777777">
        <w:tblPrEx>
          <w:tblCellMar>
            <w:top w:w="0" w:type="dxa"/>
            <w:bottom w:w="0" w:type="dxa"/>
          </w:tblCellMar>
        </w:tblPrEx>
        <w:tc>
          <w:tcPr>
            <w:tcW w:w="2600" w:type="dxa"/>
            <w:tcMar>
              <w:top w:w="80" w:type="dxa"/>
              <w:left w:w="100" w:type="dxa"/>
              <w:bottom w:w="80" w:type="dxa"/>
              <w:right w:w="100" w:type="dxa"/>
            </w:tcMar>
          </w:tcPr>
          <w:p w14:paraId="6AC032BA" w14:textId="77777777" w:rsidR="008E7E6D" w:rsidRPr="008308F6" w:rsidRDefault="00000000">
            <w:pPr>
              <w:rPr>
                <w:lang w:val="fr-FR"/>
              </w:rPr>
            </w:pPr>
            <w:r w:rsidRPr="008308F6">
              <w:rPr>
                <w:rFonts w:ascii="Calibri" w:eastAsia="Calibri" w:hAnsi="Calibri" w:cs="Calibri"/>
                <w:color w:val="222222"/>
                <w:sz w:val="18"/>
                <w:szCs w:val="18"/>
                <w:lang w:val="fr-FR"/>
              </w:rPr>
              <w:t>Transfert O&amp;G → géo (étoile, inclinés, cimentation)</w:t>
            </w:r>
          </w:p>
        </w:tc>
        <w:tc>
          <w:tcPr>
            <w:tcW w:w="3400" w:type="dxa"/>
            <w:tcMar>
              <w:top w:w="80" w:type="dxa"/>
              <w:left w:w="100" w:type="dxa"/>
              <w:bottom w:w="80" w:type="dxa"/>
              <w:right w:w="100" w:type="dxa"/>
            </w:tcMar>
          </w:tcPr>
          <w:p w14:paraId="6A66FB76" w14:textId="77777777" w:rsidR="008E7E6D" w:rsidRPr="008308F6" w:rsidRDefault="00000000">
            <w:pPr>
              <w:rPr>
                <w:lang w:val="fr-FR"/>
              </w:rPr>
            </w:pPr>
            <w:r w:rsidRPr="008308F6">
              <w:rPr>
                <w:rFonts w:ascii="Calibri" w:eastAsia="Calibri" w:hAnsi="Calibri" w:cs="Calibri"/>
                <w:color w:val="222222"/>
                <w:sz w:val="18"/>
                <w:szCs w:val="18"/>
                <w:lang w:val="fr-FR"/>
              </w:rPr>
              <w:t>Moins de R&amp;D inutile, plus de mètres</w:t>
            </w:r>
          </w:p>
        </w:tc>
        <w:tc>
          <w:tcPr>
            <w:tcW w:w="3000" w:type="dxa"/>
            <w:tcMar>
              <w:top w:w="80" w:type="dxa"/>
              <w:left w:w="100" w:type="dxa"/>
              <w:bottom w:w="80" w:type="dxa"/>
              <w:right w:w="100" w:type="dxa"/>
            </w:tcMar>
          </w:tcPr>
          <w:p w14:paraId="0BC9BB4E" w14:textId="77777777" w:rsidR="008E7E6D" w:rsidRPr="008308F6" w:rsidRDefault="00000000">
            <w:pPr>
              <w:rPr>
                <w:lang w:val="fr-FR"/>
              </w:rPr>
            </w:pPr>
            <w:r w:rsidRPr="008308F6">
              <w:rPr>
                <w:rFonts w:ascii="Calibri" w:eastAsia="Calibri" w:hAnsi="Calibri" w:cs="Calibri"/>
                <w:color w:val="222222"/>
                <w:sz w:val="18"/>
                <w:szCs w:val="18"/>
                <w:lang w:val="fr-FR"/>
              </w:rPr>
              <w:t>Ne pas relancer ce que SLB a déjà industrialisé</w:t>
            </w:r>
          </w:p>
        </w:tc>
      </w:tr>
    </w:tbl>
    <w:p w14:paraId="4A1545BD" w14:textId="77777777" w:rsidR="008E7E6D" w:rsidRPr="008308F6" w:rsidRDefault="00000000">
      <w:pPr>
        <w:spacing w:before="260" w:after="120"/>
        <w:rPr>
          <w:lang w:val="fr-FR"/>
        </w:rPr>
      </w:pPr>
      <w:proofErr w:type="gramStart"/>
      <w:r w:rsidRPr="008308F6">
        <w:rPr>
          <w:rFonts w:ascii="Calibri" w:eastAsia="Calibri" w:hAnsi="Calibri" w:cs="Calibri"/>
          <w:b/>
          <w:bCs/>
          <w:color w:val="1F6F5C"/>
          <w:sz w:val="24"/>
          <w:szCs w:val="24"/>
          <w:lang w:val="fr-FR"/>
        </w:rPr>
        <w:t>8.3  Personnel</w:t>
      </w:r>
      <w:proofErr w:type="gramEnd"/>
      <w:r w:rsidRPr="008308F6">
        <w:rPr>
          <w:rFonts w:ascii="Calibri" w:eastAsia="Calibri" w:hAnsi="Calibri" w:cs="Calibri"/>
          <w:b/>
          <w:bCs/>
          <w:color w:val="1F6F5C"/>
          <w:sz w:val="24"/>
          <w:szCs w:val="24"/>
          <w:lang w:val="fr-FR"/>
        </w:rPr>
        <w:t xml:space="preserve"> fiable = actif, pas charge</w:t>
      </w:r>
    </w:p>
    <w:p w14:paraId="2D2143DF" w14:textId="77777777" w:rsidR="008E7E6D" w:rsidRPr="008308F6" w:rsidRDefault="00000000">
      <w:pPr>
        <w:spacing w:after="160" w:line="276" w:lineRule="auto"/>
        <w:jc w:val="both"/>
        <w:rPr>
          <w:lang w:val="fr-FR"/>
        </w:rPr>
      </w:pPr>
      <w:r w:rsidRPr="008308F6">
        <w:rPr>
          <w:rFonts w:ascii="Calibri" w:eastAsia="Calibri" w:hAnsi="Calibri" w:cs="Calibri"/>
          <w:color w:val="222222"/>
          <w:sz w:val="21"/>
          <w:szCs w:val="21"/>
          <w:lang w:val="fr-FR"/>
        </w:rPr>
        <w:t>Sur un puits, la non-qualité se paie au mètre : mauvaise cimentation d'un étage Albien, sonde pincée, déviation hors cible, boue mal tenue, rapport de fin de puits incomplet. Un personnel formé, stable, travaillant sous SOP, réduit la variance. La variance est ce que le banquier et l'assureur facturent. Fiabiliser le personnel, c'est donc baisser le WACC des projets autant que le capex technique — et c'est l'inverse exact du mécanisme de contournement documenté en §6.3.</w:t>
      </w:r>
    </w:p>
    <w:p w14:paraId="70357E2D" w14:textId="77777777" w:rsidR="008E7E6D" w:rsidRPr="008308F6" w:rsidRDefault="00000000">
      <w:pPr>
        <w:spacing w:before="260" w:after="120"/>
        <w:rPr>
          <w:lang w:val="fr-FR"/>
        </w:rPr>
      </w:pPr>
      <w:proofErr w:type="gramStart"/>
      <w:r w:rsidRPr="008308F6">
        <w:rPr>
          <w:rFonts w:ascii="Calibri" w:eastAsia="Calibri" w:hAnsi="Calibri" w:cs="Calibri"/>
          <w:b/>
          <w:bCs/>
          <w:color w:val="1F6F5C"/>
          <w:sz w:val="24"/>
          <w:szCs w:val="24"/>
          <w:lang w:val="fr-FR"/>
        </w:rPr>
        <w:t>8.4  Goulots</w:t>
      </w:r>
      <w:proofErr w:type="gramEnd"/>
      <w:r w:rsidRPr="008308F6">
        <w:rPr>
          <w:rFonts w:ascii="Calibri" w:eastAsia="Calibri" w:hAnsi="Calibri" w:cs="Calibri"/>
          <w:b/>
          <w:bCs/>
          <w:color w:val="1F6F5C"/>
          <w:sz w:val="24"/>
          <w:szCs w:val="24"/>
          <w:lang w:val="fr-FR"/>
        </w:rPr>
        <w:t xml:space="preserve"> à traiter en même temps que le marché</w:t>
      </w:r>
    </w:p>
    <w:p w14:paraId="4F367F14" w14:textId="77777777" w:rsidR="008E7E6D" w:rsidRPr="008308F6" w:rsidRDefault="00000000">
      <w:pPr>
        <w:spacing w:after="160" w:line="276" w:lineRule="auto"/>
        <w:jc w:val="both"/>
        <w:rPr>
          <w:lang w:val="fr-FR"/>
        </w:rPr>
      </w:pPr>
      <w:r w:rsidRPr="008308F6">
        <w:rPr>
          <w:rFonts w:ascii="Calibri" w:eastAsia="Calibri" w:hAnsi="Calibri" w:cs="Calibri"/>
          <w:color w:val="222222"/>
          <w:sz w:val="21"/>
          <w:szCs w:val="21"/>
          <w:lang w:val="fr-FR"/>
        </w:rPr>
        <w:t>Les métiers de base ne sont pas le seul goulot. Le second est la lourdeur de revue des dossiers (DREAL, ADEME, préfecture) qui s'étale sur plusieurs mois. L'expérience de terrain montre qu'une revue d'archives, faite par quelqu'un qui a tenu le chantier, tient en quelques heures — et fait apparaître des copier-coller de certifications périmées (§5.4). Si les réviseurs se présentaient sur le puits, l'écart dossier / réalité serait immédiat. Le protocole SOP de forage décrit en §5.3, prouvé terrain, compatible avec les normes existantes, doit devenir la base de la traçabilité réelle. Les aides publiques (ADEME et autres) peuvent y être conditionnées : on ne finance plus l'obfuscation.</w:t>
      </w:r>
    </w:p>
    <w:p w14:paraId="78B61055" w14:textId="77777777" w:rsidR="008E7E6D" w:rsidRPr="008308F6" w:rsidRDefault="00000000">
      <w:pPr>
        <w:pStyle w:val="Heading1"/>
        <w:pBdr>
          <w:bottom w:val="single" w:sz="6" w:space="4" w:color="1B3A54"/>
        </w:pBdr>
        <w:spacing w:before="420" w:after="200"/>
        <w:rPr>
          <w:lang w:val="fr-FR"/>
        </w:rPr>
      </w:pPr>
      <w:bookmarkStart w:id="8" w:name="_Toc240015686"/>
      <w:r w:rsidRPr="008308F6">
        <w:rPr>
          <w:rFonts w:ascii="Calibri" w:eastAsia="Calibri" w:hAnsi="Calibri" w:cs="Calibri"/>
          <w:b/>
          <w:bCs/>
          <w:color w:val="1B3A54"/>
          <w:sz w:val="30"/>
          <w:szCs w:val="30"/>
          <w:lang w:val="fr-FR"/>
        </w:rPr>
        <w:t>9.  ROI remarquable — cadrage 10–20 ans</w:t>
      </w:r>
      <w:bookmarkEnd w:id="8"/>
    </w:p>
    <w:p w14:paraId="7B9D868F" w14:textId="77777777" w:rsidR="008E7E6D" w:rsidRPr="008308F6" w:rsidRDefault="00000000">
      <w:pPr>
        <w:spacing w:before="260" w:after="120"/>
        <w:rPr>
          <w:lang w:val="fr-FR"/>
        </w:rPr>
      </w:pPr>
      <w:proofErr w:type="gramStart"/>
      <w:r w:rsidRPr="008308F6">
        <w:rPr>
          <w:rFonts w:ascii="Calibri" w:eastAsia="Calibri" w:hAnsi="Calibri" w:cs="Calibri"/>
          <w:b/>
          <w:bCs/>
          <w:color w:val="1F6F5C"/>
          <w:sz w:val="24"/>
          <w:szCs w:val="24"/>
          <w:lang w:val="fr-FR"/>
        </w:rPr>
        <w:t>9.1  Règle</w:t>
      </w:r>
      <w:proofErr w:type="gramEnd"/>
      <w:r w:rsidRPr="008308F6">
        <w:rPr>
          <w:rFonts w:ascii="Calibri" w:eastAsia="Calibri" w:hAnsi="Calibri" w:cs="Calibri"/>
          <w:b/>
          <w:bCs/>
          <w:color w:val="1F6F5C"/>
          <w:sz w:val="24"/>
          <w:szCs w:val="24"/>
          <w:lang w:val="fr-FR"/>
        </w:rPr>
        <w:t xml:space="preserve"> de calcul</w:t>
      </w:r>
    </w:p>
    <w:p w14:paraId="65401B8D" w14:textId="77777777" w:rsidR="008E7E6D" w:rsidRPr="008308F6" w:rsidRDefault="00000000">
      <w:pPr>
        <w:spacing w:after="160" w:line="276" w:lineRule="auto"/>
        <w:jc w:val="both"/>
        <w:rPr>
          <w:lang w:val="fr-FR"/>
        </w:rPr>
      </w:pPr>
      <w:r w:rsidRPr="008308F6">
        <w:rPr>
          <w:rFonts w:ascii="Calibri" w:eastAsia="Calibri" w:hAnsi="Calibri" w:cs="Calibri"/>
          <w:color w:val="222222"/>
          <w:sz w:val="21"/>
          <w:szCs w:val="21"/>
          <w:lang w:val="fr-FR"/>
        </w:rPr>
        <w:t xml:space="preserve">On pose, pour un territoire ou un bâtiment : </w:t>
      </w:r>
      <w:proofErr w:type="spellStart"/>
      <w:r w:rsidRPr="008308F6">
        <w:rPr>
          <w:rFonts w:ascii="Calibri" w:eastAsia="Calibri" w:hAnsi="Calibri" w:cs="Calibri"/>
          <w:color w:val="222222"/>
          <w:sz w:val="21"/>
          <w:szCs w:val="21"/>
          <w:lang w:val="fr-FR"/>
        </w:rPr>
        <w:t>Payback</w:t>
      </w:r>
      <w:proofErr w:type="spellEnd"/>
      <w:r w:rsidRPr="008308F6">
        <w:rPr>
          <w:rFonts w:ascii="Calibri" w:eastAsia="Calibri" w:hAnsi="Calibri" w:cs="Calibri"/>
          <w:color w:val="222222"/>
          <w:sz w:val="21"/>
          <w:szCs w:val="21"/>
          <w:lang w:val="fr-FR"/>
        </w:rPr>
        <w:t xml:space="preserve"> simple ≈ Capex net (après Fonds chaleur, CEE ×5, Fonds vert, ANAH) / (Facture actuelle − Opex géo − maintenance).</w:t>
      </w:r>
    </w:p>
    <w:p w14:paraId="676DD6F2" w14:textId="77777777" w:rsidR="008E7E6D" w:rsidRPr="008308F6" w:rsidRDefault="00000000">
      <w:pPr>
        <w:spacing w:after="160" w:line="276" w:lineRule="auto"/>
        <w:jc w:val="both"/>
        <w:rPr>
          <w:lang w:val="fr-FR"/>
        </w:rPr>
      </w:pPr>
      <w:r w:rsidRPr="008308F6">
        <w:rPr>
          <w:rFonts w:ascii="Calibri" w:eastAsia="Calibri" w:hAnsi="Calibri" w:cs="Calibri"/>
          <w:color w:val="222222"/>
          <w:sz w:val="21"/>
          <w:szCs w:val="21"/>
          <w:lang w:val="fr-FR"/>
        </w:rPr>
        <w:t xml:space="preserve">VAN 25 ans = −Capex net + </w:t>
      </w:r>
      <w:r>
        <w:rPr>
          <w:rFonts w:ascii="Calibri" w:eastAsia="Calibri" w:hAnsi="Calibri" w:cs="Calibri"/>
          <w:color w:val="222222"/>
          <w:sz w:val="21"/>
          <w:szCs w:val="21"/>
        </w:rPr>
        <w:t>Σ</w:t>
      </w:r>
      <w:r w:rsidRPr="008308F6">
        <w:rPr>
          <w:rFonts w:ascii="Calibri" w:eastAsia="Calibri" w:hAnsi="Calibri" w:cs="Calibri"/>
          <w:color w:val="222222"/>
          <w:sz w:val="21"/>
          <w:szCs w:val="21"/>
          <w:lang w:val="fr-FR"/>
        </w:rPr>
        <w:t>t (</w:t>
      </w:r>
      <w:proofErr w:type="spellStart"/>
      <w:r w:rsidRPr="008308F6">
        <w:rPr>
          <w:rFonts w:ascii="Calibri" w:eastAsia="Calibri" w:hAnsi="Calibri" w:cs="Calibri"/>
          <w:color w:val="222222"/>
          <w:sz w:val="21"/>
          <w:szCs w:val="21"/>
          <w:lang w:val="fr-FR"/>
        </w:rPr>
        <w:t>économie_t</w:t>
      </w:r>
      <w:proofErr w:type="spellEnd"/>
      <w:r w:rsidRPr="008308F6">
        <w:rPr>
          <w:rFonts w:ascii="Calibri" w:eastAsia="Calibri" w:hAnsi="Calibri" w:cs="Calibri"/>
          <w:color w:val="222222"/>
          <w:sz w:val="21"/>
          <w:szCs w:val="21"/>
          <w:lang w:val="fr-FR"/>
        </w:rPr>
        <w:t xml:space="preserve"> − </w:t>
      </w:r>
      <w:proofErr w:type="spellStart"/>
      <w:r w:rsidRPr="008308F6">
        <w:rPr>
          <w:rFonts w:ascii="Calibri" w:eastAsia="Calibri" w:hAnsi="Calibri" w:cs="Calibri"/>
          <w:color w:val="222222"/>
          <w:sz w:val="21"/>
          <w:szCs w:val="21"/>
          <w:lang w:val="fr-FR"/>
        </w:rPr>
        <w:t>O&amp;M_t</w:t>
      </w:r>
      <w:proofErr w:type="spellEnd"/>
      <w:r w:rsidRPr="008308F6">
        <w:rPr>
          <w:rFonts w:ascii="Calibri" w:eastAsia="Calibri" w:hAnsi="Calibri" w:cs="Calibri"/>
          <w:color w:val="222222"/>
          <w:sz w:val="21"/>
          <w:szCs w:val="21"/>
          <w:lang w:val="fr-FR"/>
        </w:rPr>
        <w:t xml:space="preserve"> − renouvellement PAC) / (1+</w:t>
      </w:r>
      <w:proofErr w:type="gramStart"/>
      <w:r w:rsidRPr="008308F6">
        <w:rPr>
          <w:rFonts w:ascii="Calibri" w:eastAsia="Calibri" w:hAnsi="Calibri" w:cs="Calibri"/>
          <w:color w:val="222222"/>
          <w:sz w:val="21"/>
          <w:szCs w:val="21"/>
          <w:lang w:val="fr-FR"/>
        </w:rPr>
        <w:t>r)^</w:t>
      </w:r>
      <w:proofErr w:type="gramEnd"/>
      <w:r w:rsidRPr="008308F6">
        <w:rPr>
          <w:rFonts w:ascii="Calibri" w:eastAsia="Calibri" w:hAnsi="Calibri" w:cs="Calibri"/>
          <w:color w:val="222222"/>
          <w:sz w:val="21"/>
          <w:szCs w:val="21"/>
          <w:lang w:val="fr-FR"/>
        </w:rPr>
        <w:t>t, avec r = taux d'actualisation public ou WACC bailleur. Sensibilité obligatoire au prix du gaz, au prix de l'électricité, au COP réel (pas au COP catalogue) et, désormais, au délai d'instruction administrative (§6.2).</w:t>
      </w:r>
    </w:p>
    <w:p w14:paraId="7BDC033D" w14:textId="77777777" w:rsidR="008E7E6D" w:rsidRDefault="00000000">
      <w:pPr>
        <w:spacing w:before="260" w:after="120"/>
      </w:pPr>
      <w:proofErr w:type="gramStart"/>
      <w:r>
        <w:rPr>
          <w:rFonts w:ascii="Calibri" w:eastAsia="Calibri" w:hAnsi="Calibri" w:cs="Calibri"/>
          <w:b/>
          <w:bCs/>
          <w:color w:val="1F6F5C"/>
          <w:sz w:val="24"/>
          <w:szCs w:val="24"/>
        </w:rPr>
        <w:t>9.2  Bornes</w:t>
      </w:r>
      <w:proofErr w:type="gramEnd"/>
      <w:r>
        <w:rPr>
          <w:rFonts w:ascii="Calibri" w:eastAsia="Calibri" w:hAnsi="Calibri" w:cs="Calibri"/>
          <w:b/>
          <w:bCs/>
          <w:color w:val="1F6F5C"/>
          <w:sz w:val="24"/>
          <w:szCs w:val="24"/>
        </w:rPr>
        <w:t xml:space="preserve"> </w:t>
      </w:r>
      <w:proofErr w:type="spellStart"/>
      <w:r>
        <w:rPr>
          <w:rFonts w:ascii="Calibri" w:eastAsia="Calibri" w:hAnsi="Calibri" w:cs="Calibri"/>
          <w:b/>
          <w:bCs/>
          <w:color w:val="1F6F5C"/>
          <w:sz w:val="24"/>
          <w:szCs w:val="24"/>
        </w:rPr>
        <w:t>observées</w:t>
      </w:r>
      <w:proofErr w:type="spellEnd"/>
    </w:p>
    <w:tbl>
      <w:tblPr>
        <w:tblW w:w="9000" w:type="dxa"/>
        <w:tblBorders>
          <w:top w:val="single" w:sz="2" w:space="0" w:color="CCCCCC"/>
          <w:left w:val="single" w:sz="2" w:space="0" w:color="CCCCCC"/>
          <w:bottom w:val="single" w:sz="2" w:space="0" w:color="CCCCCC"/>
          <w:right w:val="single" w:sz="2" w:space="0" w:color="CCCCCC"/>
          <w:insideH w:val="single" w:sz="2" w:space="0" w:color="DDDDDD"/>
          <w:insideV w:val="single" w:sz="2" w:space="0" w:color="DDDDDD"/>
        </w:tblBorders>
        <w:tblCellMar>
          <w:left w:w="10" w:type="dxa"/>
          <w:right w:w="10" w:type="dxa"/>
        </w:tblCellMar>
        <w:tblLook w:val="04A0" w:firstRow="1" w:lastRow="0" w:firstColumn="1" w:lastColumn="0" w:noHBand="0" w:noVBand="1"/>
      </w:tblPr>
      <w:tblGrid>
        <w:gridCol w:w="2600"/>
        <w:gridCol w:w="2400"/>
        <w:gridCol w:w="2400"/>
        <w:gridCol w:w="1600"/>
      </w:tblGrid>
      <w:tr w:rsidR="008E7E6D" w14:paraId="69462EA6" w14:textId="77777777">
        <w:tblPrEx>
          <w:tblCellMar>
            <w:top w:w="0" w:type="dxa"/>
            <w:bottom w:w="0" w:type="dxa"/>
          </w:tblCellMar>
        </w:tblPrEx>
        <w:trPr>
          <w:tblHeader/>
        </w:trPr>
        <w:tc>
          <w:tcPr>
            <w:tcW w:w="2600" w:type="dxa"/>
            <w:shd w:val="clear" w:color="auto" w:fill="1B3A54"/>
            <w:tcMar>
              <w:top w:w="80" w:type="dxa"/>
              <w:left w:w="100" w:type="dxa"/>
              <w:bottom w:w="80" w:type="dxa"/>
              <w:right w:w="100" w:type="dxa"/>
            </w:tcMar>
            <w:vAlign w:val="center"/>
          </w:tcPr>
          <w:p w14:paraId="427528A1" w14:textId="77777777" w:rsidR="008E7E6D" w:rsidRDefault="00000000">
            <w:pPr>
              <w:jc w:val="center"/>
            </w:pPr>
            <w:proofErr w:type="spellStart"/>
            <w:r>
              <w:rPr>
                <w:rFonts w:ascii="Calibri" w:eastAsia="Calibri" w:hAnsi="Calibri" w:cs="Calibri"/>
                <w:b/>
                <w:bCs/>
                <w:color w:val="FFFFFF"/>
                <w:sz w:val="18"/>
                <w:szCs w:val="18"/>
              </w:rPr>
              <w:t>Typologie</w:t>
            </w:r>
            <w:proofErr w:type="spellEnd"/>
          </w:p>
        </w:tc>
        <w:tc>
          <w:tcPr>
            <w:tcW w:w="2400" w:type="dxa"/>
            <w:shd w:val="clear" w:color="auto" w:fill="1B3A54"/>
            <w:tcMar>
              <w:top w:w="80" w:type="dxa"/>
              <w:left w:w="100" w:type="dxa"/>
              <w:bottom w:w="80" w:type="dxa"/>
              <w:right w:w="100" w:type="dxa"/>
            </w:tcMar>
            <w:vAlign w:val="center"/>
          </w:tcPr>
          <w:p w14:paraId="23A490DE" w14:textId="77777777" w:rsidR="008E7E6D" w:rsidRDefault="00000000">
            <w:pPr>
              <w:jc w:val="center"/>
            </w:pPr>
            <w:r>
              <w:rPr>
                <w:rFonts w:ascii="Calibri" w:eastAsia="Calibri" w:hAnsi="Calibri" w:cs="Calibri"/>
                <w:b/>
                <w:bCs/>
                <w:color w:val="FFFFFF"/>
                <w:sz w:val="18"/>
                <w:szCs w:val="18"/>
              </w:rPr>
              <w:t xml:space="preserve">Capex net </w:t>
            </w:r>
            <w:proofErr w:type="spellStart"/>
            <w:r>
              <w:rPr>
                <w:rFonts w:ascii="Calibri" w:eastAsia="Calibri" w:hAnsi="Calibri" w:cs="Calibri"/>
                <w:b/>
                <w:bCs/>
                <w:color w:val="FFFFFF"/>
                <w:sz w:val="18"/>
                <w:szCs w:val="18"/>
              </w:rPr>
              <w:t>indicatif</w:t>
            </w:r>
            <w:proofErr w:type="spellEnd"/>
          </w:p>
        </w:tc>
        <w:tc>
          <w:tcPr>
            <w:tcW w:w="2400" w:type="dxa"/>
            <w:shd w:val="clear" w:color="auto" w:fill="1B3A54"/>
            <w:tcMar>
              <w:top w:w="80" w:type="dxa"/>
              <w:left w:w="100" w:type="dxa"/>
              <w:bottom w:w="80" w:type="dxa"/>
              <w:right w:w="100" w:type="dxa"/>
            </w:tcMar>
            <w:vAlign w:val="center"/>
          </w:tcPr>
          <w:p w14:paraId="7B564918" w14:textId="77777777" w:rsidR="008E7E6D" w:rsidRDefault="00000000">
            <w:pPr>
              <w:jc w:val="center"/>
            </w:pPr>
            <w:proofErr w:type="spellStart"/>
            <w:r>
              <w:rPr>
                <w:rFonts w:ascii="Calibri" w:eastAsia="Calibri" w:hAnsi="Calibri" w:cs="Calibri"/>
                <w:b/>
                <w:bCs/>
                <w:color w:val="FFFFFF"/>
                <w:sz w:val="18"/>
                <w:szCs w:val="18"/>
              </w:rPr>
              <w:t>Économie</w:t>
            </w:r>
            <w:proofErr w:type="spellEnd"/>
            <w:r>
              <w:rPr>
                <w:rFonts w:ascii="Calibri" w:eastAsia="Calibri" w:hAnsi="Calibri" w:cs="Calibri"/>
                <w:b/>
                <w:bCs/>
                <w:color w:val="FFFFFF"/>
                <w:sz w:val="18"/>
                <w:szCs w:val="18"/>
              </w:rPr>
              <w:t xml:space="preserve"> </w:t>
            </w:r>
            <w:proofErr w:type="spellStart"/>
            <w:r>
              <w:rPr>
                <w:rFonts w:ascii="Calibri" w:eastAsia="Calibri" w:hAnsi="Calibri" w:cs="Calibri"/>
                <w:b/>
                <w:bCs/>
                <w:color w:val="FFFFFF"/>
                <w:sz w:val="18"/>
                <w:szCs w:val="18"/>
              </w:rPr>
              <w:t>annuelle</w:t>
            </w:r>
            <w:proofErr w:type="spellEnd"/>
          </w:p>
        </w:tc>
        <w:tc>
          <w:tcPr>
            <w:tcW w:w="1600" w:type="dxa"/>
            <w:shd w:val="clear" w:color="auto" w:fill="1B3A54"/>
            <w:tcMar>
              <w:top w:w="80" w:type="dxa"/>
              <w:left w:w="100" w:type="dxa"/>
              <w:bottom w:w="80" w:type="dxa"/>
              <w:right w:w="100" w:type="dxa"/>
            </w:tcMar>
            <w:vAlign w:val="center"/>
          </w:tcPr>
          <w:p w14:paraId="383F239E" w14:textId="77777777" w:rsidR="008E7E6D" w:rsidRDefault="00000000">
            <w:pPr>
              <w:jc w:val="center"/>
            </w:pPr>
            <w:r>
              <w:rPr>
                <w:rFonts w:ascii="Calibri" w:eastAsia="Calibri" w:hAnsi="Calibri" w:cs="Calibri"/>
                <w:b/>
                <w:bCs/>
                <w:color w:val="FFFFFF"/>
                <w:sz w:val="18"/>
                <w:szCs w:val="18"/>
              </w:rPr>
              <w:t>Payback cadre</w:t>
            </w:r>
          </w:p>
        </w:tc>
      </w:tr>
      <w:tr w:rsidR="008E7E6D" w14:paraId="607802F0" w14:textId="77777777">
        <w:tblPrEx>
          <w:tblCellMar>
            <w:top w:w="0" w:type="dxa"/>
            <w:bottom w:w="0" w:type="dxa"/>
          </w:tblCellMar>
        </w:tblPrEx>
        <w:tc>
          <w:tcPr>
            <w:tcW w:w="2600" w:type="dxa"/>
            <w:tcMar>
              <w:top w:w="80" w:type="dxa"/>
              <w:left w:w="100" w:type="dxa"/>
              <w:bottom w:w="80" w:type="dxa"/>
              <w:right w:w="100" w:type="dxa"/>
            </w:tcMar>
          </w:tcPr>
          <w:p w14:paraId="447896BB" w14:textId="77777777" w:rsidR="008E7E6D" w:rsidRDefault="00000000">
            <w:r>
              <w:rPr>
                <w:rFonts w:ascii="Calibri" w:eastAsia="Calibri" w:hAnsi="Calibri" w:cs="Calibri"/>
                <w:color w:val="222222"/>
                <w:sz w:val="18"/>
                <w:szCs w:val="18"/>
              </w:rPr>
              <w:t xml:space="preserve">Maison </w:t>
            </w:r>
            <w:proofErr w:type="spellStart"/>
            <w:r>
              <w:rPr>
                <w:rFonts w:ascii="Calibri" w:eastAsia="Calibri" w:hAnsi="Calibri" w:cs="Calibri"/>
                <w:color w:val="222222"/>
                <w:sz w:val="18"/>
                <w:szCs w:val="18"/>
              </w:rPr>
              <w:t>individuelle</w:t>
            </w:r>
            <w:proofErr w:type="spellEnd"/>
            <w:r>
              <w:rPr>
                <w:rFonts w:ascii="Calibri" w:eastAsia="Calibri" w:hAnsi="Calibri" w:cs="Calibri"/>
                <w:color w:val="222222"/>
                <w:sz w:val="18"/>
                <w:szCs w:val="18"/>
              </w:rPr>
              <w:t xml:space="preserve"> (après aides)</w:t>
            </w:r>
          </w:p>
        </w:tc>
        <w:tc>
          <w:tcPr>
            <w:tcW w:w="2400" w:type="dxa"/>
            <w:tcMar>
              <w:top w:w="80" w:type="dxa"/>
              <w:left w:w="100" w:type="dxa"/>
              <w:bottom w:w="80" w:type="dxa"/>
              <w:right w:w="100" w:type="dxa"/>
            </w:tcMar>
          </w:tcPr>
          <w:p w14:paraId="613B6A82" w14:textId="77777777" w:rsidR="008E7E6D" w:rsidRDefault="00000000">
            <w:r>
              <w:rPr>
                <w:rFonts w:ascii="Calibri" w:eastAsia="Calibri" w:hAnsi="Calibri" w:cs="Calibri"/>
                <w:color w:val="222222"/>
                <w:sz w:val="18"/>
                <w:szCs w:val="18"/>
              </w:rPr>
              <w:t xml:space="preserve">2–25 k€ </w:t>
            </w:r>
            <w:proofErr w:type="spellStart"/>
            <w:r>
              <w:rPr>
                <w:rFonts w:ascii="Calibri" w:eastAsia="Calibri" w:hAnsi="Calibri" w:cs="Calibri"/>
                <w:color w:val="222222"/>
                <w:sz w:val="18"/>
                <w:szCs w:val="18"/>
              </w:rPr>
              <w:t>selon</w:t>
            </w:r>
            <w:proofErr w:type="spellEnd"/>
            <w:r>
              <w:rPr>
                <w:rFonts w:ascii="Calibri" w:eastAsia="Calibri" w:hAnsi="Calibri" w:cs="Calibri"/>
                <w:color w:val="222222"/>
                <w:sz w:val="18"/>
                <w:szCs w:val="18"/>
              </w:rPr>
              <w:t xml:space="preserve"> </w:t>
            </w:r>
            <w:proofErr w:type="spellStart"/>
            <w:r>
              <w:rPr>
                <w:rFonts w:ascii="Calibri" w:eastAsia="Calibri" w:hAnsi="Calibri" w:cs="Calibri"/>
                <w:color w:val="222222"/>
                <w:sz w:val="18"/>
                <w:szCs w:val="18"/>
              </w:rPr>
              <w:t>revenus</w:t>
            </w:r>
            <w:proofErr w:type="spellEnd"/>
            <w:r>
              <w:rPr>
                <w:rFonts w:ascii="Calibri" w:eastAsia="Calibri" w:hAnsi="Calibri" w:cs="Calibri"/>
                <w:color w:val="222222"/>
                <w:sz w:val="18"/>
                <w:szCs w:val="18"/>
              </w:rPr>
              <w:t xml:space="preserve"> / nappe</w:t>
            </w:r>
          </w:p>
        </w:tc>
        <w:tc>
          <w:tcPr>
            <w:tcW w:w="2400" w:type="dxa"/>
            <w:tcMar>
              <w:top w:w="80" w:type="dxa"/>
              <w:left w:w="100" w:type="dxa"/>
              <w:bottom w:w="80" w:type="dxa"/>
              <w:right w:w="100" w:type="dxa"/>
            </w:tcMar>
          </w:tcPr>
          <w:p w14:paraId="3F71F09E" w14:textId="77777777" w:rsidR="008E7E6D" w:rsidRDefault="00000000">
            <w:r>
              <w:rPr>
                <w:rFonts w:ascii="Calibri" w:eastAsia="Calibri" w:hAnsi="Calibri" w:cs="Calibri"/>
                <w:color w:val="222222"/>
                <w:sz w:val="18"/>
                <w:szCs w:val="18"/>
              </w:rPr>
              <w:t>0,8–2 k€</w:t>
            </w:r>
          </w:p>
        </w:tc>
        <w:tc>
          <w:tcPr>
            <w:tcW w:w="1600" w:type="dxa"/>
            <w:tcMar>
              <w:top w:w="80" w:type="dxa"/>
              <w:left w:w="100" w:type="dxa"/>
              <w:bottom w:w="80" w:type="dxa"/>
              <w:right w:w="100" w:type="dxa"/>
            </w:tcMar>
          </w:tcPr>
          <w:p w14:paraId="1128ACC0" w14:textId="77777777" w:rsidR="008E7E6D" w:rsidRDefault="00000000">
            <w:r>
              <w:rPr>
                <w:rFonts w:ascii="Calibri" w:eastAsia="Calibri" w:hAnsi="Calibri" w:cs="Calibri"/>
                <w:color w:val="222222"/>
                <w:sz w:val="18"/>
                <w:szCs w:val="18"/>
              </w:rPr>
              <w:t xml:space="preserve">8–20 </w:t>
            </w:r>
            <w:proofErr w:type="spellStart"/>
            <w:r>
              <w:rPr>
                <w:rFonts w:ascii="Calibri" w:eastAsia="Calibri" w:hAnsi="Calibri" w:cs="Calibri"/>
                <w:color w:val="222222"/>
                <w:sz w:val="18"/>
                <w:szCs w:val="18"/>
              </w:rPr>
              <w:t>ans</w:t>
            </w:r>
            <w:proofErr w:type="spellEnd"/>
          </w:p>
        </w:tc>
      </w:tr>
      <w:tr w:rsidR="008E7E6D" w14:paraId="6D066794" w14:textId="77777777">
        <w:tblPrEx>
          <w:tblCellMar>
            <w:top w:w="0" w:type="dxa"/>
            <w:bottom w:w="0" w:type="dxa"/>
          </w:tblCellMar>
        </w:tblPrEx>
        <w:tc>
          <w:tcPr>
            <w:tcW w:w="2600" w:type="dxa"/>
            <w:shd w:val="clear" w:color="auto" w:fill="F4F4F2"/>
            <w:tcMar>
              <w:top w:w="80" w:type="dxa"/>
              <w:left w:w="100" w:type="dxa"/>
              <w:bottom w:w="80" w:type="dxa"/>
              <w:right w:w="100" w:type="dxa"/>
            </w:tcMar>
          </w:tcPr>
          <w:p w14:paraId="77158C13" w14:textId="77777777" w:rsidR="008E7E6D" w:rsidRDefault="00000000">
            <w:proofErr w:type="spellStart"/>
            <w:r>
              <w:rPr>
                <w:rFonts w:ascii="Calibri" w:eastAsia="Calibri" w:hAnsi="Calibri" w:cs="Calibri"/>
                <w:color w:val="222222"/>
                <w:sz w:val="18"/>
                <w:szCs w:val="18"/>
              </w:rPr>
              <w:t>Collectif</w:t>
            </w:r>
            <w:proofErr w:type="spellEnd"/>
            <w:r>
              <w:rPr>
                <w:rFonts w:ascii="Calibri" w:eastAsia="Calibri" w:hAnsi="Calibri" w:cs="Calibri"/>
                <w:color w:val="222222"/>
                <w:sz w:val="18"/>
                <w:szCs w:val="18"/>
              </w:rPr>
              <w:t xml:space="preserve"> / social (</w:t>
            </w:r>
            <w:proofErr w:type="spellStart"/>
            <w:r>
              <w:rPr>
                <w:rFonts w:ascii="Calibri" w:eastAsia="Calibri" w:hAnsi="Calibri" w:cs="Calibri"/>
                <w:color w:val="222222"/>
                <w:sz w:val="18"/>
                <w:szCs w:val="18"/>
              </w:rPr>
              <w:t>Vulcain</w:t>
            </w:r>
            <w:proofErr w:type="spellEnd"/>
            <w:r>
              <w:rPr>
                <w:rFonts w:ascii="Calibri" w:eastAsia="Calibri" w:hAnsi="Calibri" w:cs="Calibri"/>
                <w:color w:val="222222"/>
                <w:sz w:val="18"/>
                <w:szCs w:val="18"/>
              </w:rPr>
              <w:t xml:space="preserve"> type)</w:t>
            </w:r>
          </w:p>
        </w:tc>
        <w:tc>
          <w:tcPr>
            <w:tcW w:w="2400" w:type="dxa"/>
            <w:shd w:val="clear" w:color="auto" w:fill="F4F4F2"/>
            <w:tcMar>
              <w:top w:w="80" w:type="dxa"/>
              <w:left w:w="100" w:type="dxa"/>
              <w:bottom w:w="80" w:type="dxa"/>
              <w:right w:w="100" w:type="dxa"/>
            </w:tcMar>
          </w:tcPr>
          <w:p w14:paraId="10AB9B68" w14:textId="77777777" w:rsidR="008E7E6D" w:rsidRPr="008308F6" w:rsidRDefault="00000000">
            <w:pPr>
              <w:rPr>
                <w:lang w:val="fr-FR"/>
              </w:rPr>
            </w:pPr>
            <w:r w:rsidRPr="008308F6">
              <w:rPr>
                <w:rFonts w:ascii="Calibri" w:eastAsia="Calibri" w:hAnsi="Calibri" w:cs="Calibri"/>
                <w:color w:val="222222"/>
                <w:sz w:val="18"/>
                <w:szCs w:val="18"/>
                <w:lang w:val="fr-FR"/>
              </w:rPr>
              <w:t>Part forage + PAC, Fonds chaleur</w:t>
            </w:r>
          </w:p>
        </w:tc>
        <w:tc>
          <w:tcPr>
            <w:tcW w:w="2400" w:type="dxa"/>
            <w:shd w:val="clear" w:color="auto" w:fill="F4F4F2"/>
            <w:tcMar>
              <w:top w:w="80" w:type="dxa"/>
              <w:left w:w="100" w:type="dxa"/>
              <w:bottom w:w="80" w:type="dxa"/>
              <w:right w:w="100" w:type="dxa"/>
            </w:tcMar>
          </w:tcPr>
          <w:p w14:paraId="2275AAD7" w14:textId="77777777" w:rsidR="008E7E6D" w:rsidRDefault="00000000">
            <w:proofErr w:type="spellStart"/>
            <w:r>
              <w:rPr>
                <w:rFonts w:ascii="Calibri" w:eastAsia="Calibri" w:hAnsi="Calibri" w:cs="Calibri"/>
                <w:color w:val="222222"/>
                <w:sz w:val="18"/>
                <w:szCs w:val="18"/>
              </w:rPr>
              <w:t>Chauffage</w:t>
            </w:r>
            <w:proofErr w:type="spellEnd"/>
            <w:r>
              <w:rPr>
                <w:rFonts w:ascii="Calibri" w:eastAsia="Calibri" w:hAnsi="Calibri" w:cs="Calibri"/>
                <w:color w:val="222222"/>
                <w:sz w:val="18"/>
                <w:szCs w:val="18"/>
              </w:rPr>
              <w:t xml:space="preserve"> + </w:t>
            </w:r>
            <w:proofErr w:type="spellStart"/>
            <w:r>
              <w:rPr>
                <w:rFonts w:ascii="Calibri" w:eastAsia="Calibri" w:hAnsi="Calibri" w:cs="Calibri"/>
                <w:color w:val="222222"/>
                <w:sz w:val="18"/>
                <w:szCs w:val="18"/>
              </w:rPr>
              <w:t>froid</w:t>
            </w:r>
            <w:proofErr w:type="spellEnd"/>
            <w:r>
              <w:rPr>
                <w:rFonts w:ascii="Calibri" w:eastAsia="Calibri" w:hAnsi="Calibri" w:cs="Calibri"/>
                <w:color w:val="222222"/>
                <w:sz w:val="18"/>
                <w:szCs w:val="18"/>
              </w:rPr>
              <w:t>, −</w:t>
            </w:r>
            <w:proofErr w:type="spellStart"/>
            <w:r>
              <w:rPr>
                <w:rFonts w:ascii="Calibri" w:eastAsia="Calibri" w:hAnsi="Calibri" w:cs="Calibri"/>
                <w:color w:val="222222"/>
                <w:sz w:val="18"/>
                <w:szCs w:val="18"/>
              </w:rPr>
              <w:t>fioul</w:t>
            </w:r>
            <w:proofErr w:type="spellEnd"/>
            <w:r>
              <w:rPr>
                <w:rFonts w:ascii="Calibri" w:eastAsia="Calibri" w:hAnsi="Calibri" w:cs="Calibri"/>
                <w:color w:val="222222"/>
                <w:sz w:val="18"/>
                <w:szCs w:val="18"/>
              </w:rPr>
              <w:t>/</w:t>
            </w:r>
            <w:proofErr w:type="spellStart"/>
            <w:r>
              <w:rPr>
                <w:rFonts w:ascii="Calibri" w:eastAsia="Calibri" w:hAnsi="Calibri" w:cs="Calibri"/>
                <w:color w:val="222222"/>
                <w:sz w:val="18"/>
                <w:szCs w:val="18"/>
              </w:rPr>
              <w:t>gaz</w:t>
            </w:r>
            <w:proofErr w:type="spellEnd"/>
          </w:p>
        </w:tc>
        <w:tc>
          <w:tcPr>
            <w:tcW w:w="1600" w:type="dxa"/>
            <w:shd w:val="clear" w:color="auto" w:fill="F4F4F2"/>
            <w:tcMar>
              <w:top w:w="80" w:type="dxa"/>
              <w:left w:w="100" w:type="dxa"/>
              <w:bottom w:w="80" w:type="dxa"/>
              <w:right w:w="100" w:type="dxa"/>
            </w:tcMar>
          </w:tcPr>
          <w:p w14:paraId="1727CD94" w14:textId="77777777" w:rsidR="008E7E6D" w:rsidRDefault="00000000">
            <w:r>
              <w:rPr>
                <w:rFonts w:ascii="Calibri" w:eastAsia="Calibri" w:hAnsi="Calibri" w:cs="Calibri"/>
                <w:color w:val="222222"/>
                <w:sz w:val="18"/>
                <w:szCs w:val="18"/>
              </w:rPr>
              <w:t xml:space="preserve">10–18 </w:t>
            </w:r>
            <w:proofErr w:type="spellStart"/>
            <w:r>
              <w:rPr>
                <w:rFonts w:ascii="Calibri" w:eastAsia="Calibri" w:hAnsi="Calibri" w:cs="Calibri"/>
                <w:color w:val="222222"/>
                <w:sz w:val="18"/>
                <w:szCs w:val="18"/>
              </w:rPr>
              <w:t>ans</w:t>
            </w:r>
            <w:proofErr w:type="spellEnd"/>
          </w:p>
        </w:tc>
      </w:tr>
      <w:tr w:rsidR="008E7E6D" w14:paraId="61C18DC0" w14:textId="77777777">
        <w:tblPrEx>
          <w:tblCellMar>
            <w:top w:w="0" w:type="dxa"/>
            <w:bottom w:w="0" w:type="dxa"/>
          </w:tblCellMar>
        </w:tblPrEx>
        <w:tc>
          <w:tcPr>
            <w:tcW w:w="2600" w:type="dxa"/>
            <w:tcMar>
              <w:top w:w="80" w:type="dxa"/>
              <w:left w:w="100" w:type="dxa"/>
              <w:bottom w:w="80" w:type="dxa"/>
              <w:right w:w="100" w:type="dxa"/>
            </w:tcMar>
          </w:tcPr>
          <w:p w14:paraId="29C0772D" w14:textId="77777777" w:rsidR="008E7E6D" w:rsidRDefault="00000000">
            <w:proofErr w:type="spellStart"/>
            <w:r>
              <w:rPr>
                <w:rFonts w:ascii="Calibri" w:eastAsia="Calibri" w:hAnsi="Calibri" w:cs="Calibri"/>
                <w:color w:val="222222"/>
                <w:sz w:val="18"/>
                <w:szCs w:val="18"/>
              </w:rPr>
              <w:t>Tertiaire</w:t>
            </w:r>
            <w:proofErr w:type="spellEnd"/>
            <w:r>
              <w:rPr>
                <w:rFonts w:ascii="Calibri" w:eastAsia="Calibri" w:hAnsi="Calibri" w:cs="Calibri"/>
                <w:color w:val="222222"/>
                <w:sz w:val="18"/>
                <w:szCs w:val="18"/>
              </w:rPr>
              <w:t xml:space="preserve"> / </w:t>
            </w:r>
            <w:proofErr w:type="spellStart"/>
            <w:r>
              <w:rPr>
                <w:rFonts w:ascii="Calibri" w:eastAsia="Calibri" w:hAnsi="Calibri" w:cs="Calibri"/>
                <w:color w:val="222222"/>
                <w:sz w:val="18"/>
                <w:szCs w:val="18"/>
              </w:rPr>
              <w:t>siège</w:t>
            </w:r>
            <w:proofErr w:type="spellEnd"/>
            <w:r>
              <w:rPr>
                <w:rFonts w:ascii="Calibri" w:eastAsia="Calibri" w:hAnsi="Calibri" w:cs="Calibri"/>
                <w:color w:val="222222"/>
                <w:sz w:val="18"/>
                <w:szCs w:val="18"/>
              </w:rPr>
              <w:t xml:space="preserve"> / </w:t>
            </w:r>
            <w:proofErr w:type="spellStart"/>
            <w:r>
              <w:rPr>
                <w:rFonts w:ascii="Calibri" w:eastAsia="Calibri" w:hAnsi="Calibri" w:cs="Calibri"/>
                <w:color w:val="222222"/>
                <w:sz w:val="18"/>
                <w:szCs w:val="18"/>
              </w:rPr>
              <w:t>usine</w:t>
            </w:r>
            <w:proofErr w:type="spellEnd"/>
          </w:p>
        </w:tc>
        <w:tc>
          <w:tcPr>
            <w:tcW w:w="2400" w:type="dxa"/>
            <w:tcMar>
              <w:top w:w="80" w:type="dxa"/>
              <w:left w:w="100" w:type="dxa"/>
              <w:bottom w:w="80" w:type="dxa"/>
              <w:right w:w="100" w:type="dxa"/>
            </w:tcMar>
          </w:tcPr>
          <w:p w14:paraId="57A8CE17" w14:textId="77777777" w:rsidR="008E7E6D" w:rsidRPr="008308F6" w:rsidRDefault="00000000">
            <w:pPr>
              <w:rPr>
                <w:lang w:val="fr-FR"/>
              </w:rPr>
            </w:pPr>
            <w:r w:rsidRPr="008308F6">
              <w:rPr>
                <w:rFonts w:ascii="Calibri" w:eastAsia="Calibri" w:hAnsi="Calibri" w:cs="Calibri"/>
                <w:color w:val="222222"/>
                <w:sz w:val="18"/>
                <w:szCs w:val="18"/>
                <w:lang w:val="fr-FR"/>
              </w:rPr>
              <w:t>1–4 k€/kW selon sondes / nappe</w:t>
            </w:r>
          </w:p>
        </w:tc>
        <w:tc>
          <w:tcPr>
            <w:tcW w:w="2400" w:type="dxa"/>
            <w:tcMar>
              <w:top w:w="80" w:type="dxa"/>
              <w:left w:w="100" w:type="dxa"/>
              <w:bottom w:w="80" w:type="dxa"/>
              <w:right w:w="100" w:type="dxa"/>
            </w:tcMar>
          </w:tcPr>
          <w:p w14:paraId="01F732E8" w14:textId="77777777" w:rsidR="008E7E6D" w:rsidRDefault="00000000">
            <w:r>
              <w:rPr>
                <w:rFonts w:ascii="Calibri" w:eastAsia="Calibri" w:hAnsi="Calibri" w:cs="Calibri"/>
                <w:color w:val="222222"/>
                <w:sz w:val="18"/>
                <w:szCs w:val="18"/>
              </w:rPr>
              <w:t xml:space="preserve">Process + </w:t>
            </w:r>
            <w:proofErr w:type="spellStart"/>
            <w:r>
              <w:rPr>
                <w:rFonts w:ascii="Calibri" w:eastAsia="Calibri" w:hAnsi="Calibri" w:cs="Calibri"/>
                <w:color w:val="222222"/>
                <w:sz w:val="18"/>
                <w:szCs w:val="18"/>
              </w:rPr>
              <w:t>confort</w:t>
            </w:r>
            <w:proofErr w:type="spellEnd"/>
            <w:r>
              <w:rPr>
                <w:rFonts w:ascii="Calibri" w:eastAsia="Calibri" w:hAnsi="Calibri" w:cs="Calibri"/>
                <w:color w:val="222222"/>
                <w:sz w:val="18"/>
                <w:szCs w:val="18"/>
              </w:rPr>
              <w:t xml:space="preserve"> + </w:t>
            </w:r>
            <w:proofErr w:type="spellStart"/>
            <w:r>
              <w:rPr>
                <w:rFonts w:ascii="Calibri" w:eastAsia="Calibri" w:hAnsi="Calibri" w:cs="Calibri"/>
                <w:color w:val="222222"/>
                <w:sz w:val="18"/>
                <w:szCs w:val="18"/>
              </w:rPr>
              <w:t>froid</w:t>
            </w:r>
            <w:proofErr w:type="spellEnd"/>
          </w:p>
        </w:tc>
        <w:tc>
          <w:tcPr>
            <w:tcW w:w="1600" w:type="dxa"/>
            <w:tcMar>
              <w:top w:w="80" w:type="dxa"/>
              <w:left w:w="100" w:type="dxa"/>
              <w:bottom w:w="80" w:type="dxa"/>
              <w:right w:w="100" w:type="dxa"/>
            </w:tcMar>
          </w:tcPr>
          <w:p w14:paraId="0368AD00" w14:textId="77777777" w:rsidR="008E7E6D" w:rsidRDefault="00000000">
            <w:r>
              <w:rPr>
                <w:rFonts w:ascii="Calibri" w:eastAsia="Calibri" w:hAnsi="Calibri" w:cs="Calibri"/>
                <w:color w:val="222222"/>
                <w:sz w:val="18"/>
                <w:szCs w:val="18"/>
              </w:rPr>
              <w:t xml:space="preserve">8–16 </w:t>
            </w:r>
            <w:proofErr w:type="spellStart"/>
            <w:r>
              <w:rPr>
                <w:rFonts w:ascii="Calibri" w:eastAsia="Calibri" w:hAnsi="Calibri" w:cs="Calibri"/>
                <w:color w:val="222222"/>
                <w:sz w:val="18"/>
                <w:szCs w:val="18"/>
              </w:rPr>
              <w:t>ans</w:t>
            </w:r>
            <w:proofErr w:type="spellEnd"/>
          </w:p>
        </w:tc>
      </w:tr>
      <w:tr w:rsidR="008E7E6D" w14:paraId="4E450C25" w14:textId="77777777">
        <w:tblPrEx>
          <w:tblCellMar>
            <w:top w:w="0" w:type="dxa"/>
            <w:bottom w:w="0" w:type="dxa"/>
          </w:tblCellMar>
        </w:tblPrEx>
        <w:tc>
          <w:tcPr>
            <w:tcW w:w="2600" w:type="dxa"/>
            <w:shd w:val="clear" w:color="auto" w:fill="F4F4F2"/>
            <w:tcMar>
              <w:top w:w="80" w:type="dxa"/>
              <w:left w:w="100" w:type="dxa"/>
              <w:bottom w:w="80" w:type="dxa"/>
              <w:right w:w="100" w:type="dxa"/>
            </w:tcMar>
          </w:tcPr>
          <w:p w14:paraId="5967EACA" w14:textId="77777777" w:rsidR="008E7E6D" w:rsidRPr="008308F6" w:rsidRDefault="00000000">
            <w:pPr>
              <w:rPr>
                <w:lang w:val="fr-FR"/>
              </w:rPr>
            </w:pPr>
            <w:r w:rsidRPr="008308F6">
              <w:rPr>
                <w:rFonts w:ascii="Calibri" w:eastAsia="Calibri" w:hAnsi="Calibri" w:cs="Calibri"/>
                <w:color w:val="222222"/>
                <w:sz w:val="18"/>
                <w:szCs w:val="18"/>
                <w:lang w:val="fr-FR"/>
              </w:rPr>
              <w:t>Réseau profond / SAS (</w:t>
            </w:r>
            <w:proofErr w:type="spellStart"/>
            <w:r w:rsidRPr="008308F6">
              <w:rPr>
                <w:rFonts w:ascii="Calibri" w:eastAsia="Calibri" w:hAnsi="Calibri" w:cs="Calibri"/>
                <w:color w:val="222222"/>
                <w:sz w:val="18"/>
                <w:szCs w:val="18"/>
                <w:lang w:val="fr-FR"/>
              </w:rPr>
              <w:t>Géomy</w:t>
            </w:r>
            <w:proofErr w:type="spellEnd"/>
            <w:r w:rsidRPr="008308F6">
              <w:rPr>
                <w:rFonts w:ascii="Calibri" w:eastAsia="Calibri" w:hAnsi="Calibri" w:cs="Calibri"/>
                <w:color w:val="222222"/>
                <w:sz w:val="18"/>
                <w:szCs w:val="18"/>
                <w:lang w:val="fr-FR"/>
              </w:rPr>
              <w:t xml:space="preserve"> type)</w:t>
            </w:r>
          </w:p>
        </w:tc>
        <w:tc>
          <w:tcPr>
            <w:tcW w:w="2400" w:type="dxa"/>
            <w:shd w:val="clear" w:color="auto" w:fill="F4F4F2"/>
            <w:tcMar>
              <w:top w:w="80" w:type="dxa"/>
              <w:left w:w="100" w:type="dxa"/>
              <w:bottom w:w="80" w:type="dxa"/>
              <w:right w:w="100" w:type="dxa"/>
            </w:tcMar>
          </w:tcPr>
          <w:p w14:paraId="02A73D19" w14:textId="77777777" w:rsidR="008E7E6D" w:rsidRDefault="00000000">
            <w:r>
              <w:rPr>
                <w:rFonts w:ascii="Calibri" w:eastAsia="Calibri" w:hAnsi="Calibri" w:cs="Calibri"/>
                <w:color w:val="222222"/>
                <w:sz w:val="18"/>
                <w:szCs w:val="18"/>
              </w:rPr>
              <w:t xml:space="preserve">M€, </w:t>
            </w:r>
            <w:proofErr w:type="spellStart"/>
            <w:r>
              <w:rPr>
                <w:rFonts w:ascii="Calibri" w:eastAsia="Calibri" w:hAnsi="Calibri" w:cs="Calibri"/>
                <w:color w:val="222222"/>
                <w:sz w:val="18"/>
                <w:szCs w:val="18"/>
              </w:rPr>
              <w:t>dette</w:t>
            </w:r>
            <w:proofErr w:type="spellEnd"/>
            <w:r>
              <w:rPr>
                <w:rFonts w:ascii="Calibri" w:eastAsia="Calibri" w:hAnsi="Calibri" w:cs="Calibri"/>
                <w:color w:val="222222"/>
                <w:sz w:val="18"/>
                <w:szCs w:val="18"/>
              </w:rPr>
              <w:t xml:space="preserve"> longue, </w:t>
            </w:r>
            <w:proofErr w:type="spellStart"/>
            <w:r>
              <w:rPr>
                <w:rFonts w:ascii="Calibri" w:eastAsia="Calibri" w:hAnsi="Calibri" w:cs="Calibri"/>
                <w:color w:val="222222"/>
                <w:sz w:val="18"/>
                <w:szCs w:val="18"/>
              </w:rPr>
              <w:t>EnR</w:t>
            </w:r>
            <w:proofErr w:type="spellEnd"/>
            <w:r>
              <w:rPr>
                <w:rFonts w:ascii="Calibri" w:eastAsia="Calibri" w:hAnsi="Calibri" w:cs="Calibri"/>
                <w:color w:val="222222"/>
                <w:sz w:val="18"/>
                <w:szCs w:val="18"/>
              </w:rPr>
              <w:t xml:space="preserve"> 75 %</w:t>
            </w:r>
          </w:p>
        </w:tc>
        <w:tc>
          <w:tcPr>
            <w:tcW w:w="2400" w:type="dxa"/>
            <w:shd w:val="clear" w:color="auto" w:fill="F4F4F2"/>
            <w:tcMar>
              <w:top w:w="80" w:type="dxa"/>
              <w:left w:w="100" w:type="dxa"/>
              <w:bottom w:w="80" w:type="dxa"/>
              <w:right w:w="100" w:type="dxa"/>
            </w:tcMar>
          </w:tcPr>
          <w:p w14:paraId="64DFA945" w14:textId="77777777" w:rsidR="008E7E6D" w:rsidRDefault="00000000">
            <w:r>
              <w:rPr>
                <w:rFonts w:ascii="Calibri" w:eastAsia="Calibri" w:hAnsi="Calibri" w:cs="Calibri"/>
                <w:color w:val="222222"/>
                <w:sz w:val="18"/>
                <w:szCs w:val="18"/>
              </w:rPr>
              <w:t xml:space="preserve">9 000 eq. </w:t>
            </w:r>
            <w:proofErr w:type="spellStart"/>
            <w:r>
              <w:rPr>
                <w:rFonts w:ascii="Calibri" w:eastAsia="Calibri" w:hAnsi="Calibri" w:cs="Calibri"/>
                <w:color w:val="222222"/>
                <w:sz w:val="18"/>
                <w:szCs w:val="18"/>
              </w:rPr>
              <w:t>logements</w:t>
            </w:r>
            <w:proofErr w:type="spellEnd"/>
            <w:r>
              <w:rPr>
                <w:rFonts w:ascii="Calibri" w:eastAsia="Calibri" w:hAnsi="Calibri" w:cs="Calibri"/>
                <w:color w:val="222222"/>
                <w:sz w:val="18"/>
                <w:szCs w:val="18"/>
              </w:rPr>
              <w:t xml:space="preserve"> possibles</w:t>
            </w:r>
          </w:p>
        </w:tc>
        <w:tc>
          <w:tcPr>
            <w:tcW w:w="1600" w:type="dxa"/>
            <w:shd w:val="clear" w:color="auto" w:fill="F4F4F2"/>
            <w:tcMar>
              <w:top w:w="80" w:type="dxa"/>
              <w:left w:w="100" w:type="dxa"/>
              <w:bottom w:w="80" w:type="dxa"/>
              <w:right w:w="100" w:type="dxa"/>
            </w:tcMar>
          </w:tcPr>
          <w:p w14:paraId="736D96F4" w14:textId="77777777" w:rsidR="008E7E6D" w:rsidRDefault="00000000">
            <w:r>
              <w:rPr>
                <w:rFonts w:ascii="Calibri" w:eastAsia="Calibri" w:hAnsi="Calibri" w:cs="Calibri"/>
                <w:color w:val="222222"/>
                <w:sz w:val="18"/>
                <w:szCs w:val="18"/>
              </w:rPr>
              <w:t xml:space="preserve">7–13 </w:t>
            </w:r>
            <w:proofErr w:type="spellStart"/>
            <w:r>
              <w:rPr>
                <w:rFonts w:ascii="Calibri" w:eastAsia="Calibri" w:hAnsi="Calibri" w:cs="Calibri"/>
                <w:color w:val="222222"/>
                <w:sz w:val="18"/>
                <w:szCs w:val="18"/>
              </w:rPr>
              <w:t>ans</w:t>
            </w:r>
            <w:proofErr w:type="spellEnd"/>
            <w:r>
              <w:rPr>
                <w:rFonts w:ascii="Calibri" w:eastAsia="Calibri" w:hAnsi="Calibri" w:cs="Calibri"/>
                <w:color w:val="222222"/>
                <w:sz w:val="18"/>
                <w:szCs w:val="18"/>
              </w:rPr>
              <w:t xml:space="preserve"> </w:t>
            </w:r>
            <w:proofErr w:type="spellStart"/>
            <w:r>
              <w:rPr>
                <w:rFonts w:ascii="Calibri" w:eastAsia="Calibri" w:hAnsi="Calibri" w:cs="Calibri"/>
                <w:color w:val="222222"/>
                <w:sz w:val="18"/>
                <w:szCs w:val="18"/>
              </w:rPr>
              <w:t>si</w:t>
            </w:r>
            <w:proofErr w:type="spellEnd"/>
            <w:r>
              <w:rPr>
                <w:rFonts w:ascii="Calibri" w:eastAsia="Calibri" w:hAnsi="Calibri" w:cs="Calibri"/>
                <w:color w:val="222222"/>
                <w:sz w:val="18"/>
                <w:szCs w:val="18"/>
              </w:rPr>
              <w:t xml:space="preserve"> </w:t>
            </w:r>
            <w:proofErr w:type="spellStart"/>
            <w:r>
              <w:rPr>
                <w:rFonts w:ascii="Calibri" w:eastAsia="Calibri" w:hAnsi="Calibri" w:cs="Calibri"/>
                <w:color w:val="222222"/>
                <w:sz w:val="18"/>
                <w:szCs w:val="18"/>
              </w:rPr>
              <w:t>réservoir</w:t>
            </w:r>
            <w:proofErr w:type="spellEnd"/>
            <w:r>
              <w:rPr>
                <w:rFonts w:ascii="Calibri" w:eastAsia="Calibri" w:hAnsi="Calibri" w:cs="Calibri"/>
                <w:color w:val="222222"/>
                <w:sz w:val="18"/>
                <w:szCs w:val="18"/>
              </w:rPr>
              <w:t xml:space="preserve"> OK</w:t>
            </w:r>
          </w:p>
        </w:tc>
      </w:tr>
      <w:tr w:rsidR="008E7E6D" w14:paraId="5140C1B6" w14:textId="77777777">
        <w:tblPrEx>
          <w:tblCellMar>
            <w:top w:w="0" w:type="dxa"/>
            <w:bottom w:w="0" w:type="dxa"/>
          </w:tblCellMar>
        </w:tblPrEx>
        <w:tc>
          <w:tcPr>
            <w:tcW w:w="2600" w:type="dxa"/>
            <w:tcMar>
              <w:top w:w="80" w:type="dxa"/>
              <w:left w:w="100" w:type="dxa"/>
              <w:bottom w:w="80" w:type="dxa"/>
              <w:right w:w="100" w:type="dxa"/>
            </w:tcMar>
          </w:tcPr>
          <w:p w14:paraId="49EFCADF" w14:textId="77777777" w:rsidR="008E7E6D" w:rsidRPr="008308F6" w:rsidRDefault="00000000">
            <w:pPr>
              <w:rPr>
                <w:lang w:val="fr-FR"/>
              </w:rPr>
            </w:pPr>
            <w:r w:rsidRPr="008308F6">
              <w:rPr>
                <w:rFonts w:ascii="Calibri" w:eastAsia="Calibri" w:hAnsi="Calibri" w:cs="Calibri"/>
                <w:color w:val="222222"/>
                <w:sz w:val="18"/>
                <w:szCs w:val="18"/>
                <w:lang w:val="fr-FR"/>
              </w:rPr>
              <w:t>Boucle écoquartier / fatale (Gex / CERN)</w:t>
            </w:r>
          </w:p>
        </w:tc>
        <w:tc>
          <w:tcPr>
            <w:tcW w:w="2400" w:type="dxa"/>
            <w:tcMar>
              <w:top w:w="80" w:type="dxa"/>
              <w:left w:w="100" w:type="dxa"/>
              <w:bottom w:w="80" w:type="dxa"/>
              <w:right w:w="100" w:type="dxa"/>
            </w:tcMar>
          </w:tcPr>
          <w:p w14:paraId="0F46A847" w14:textId="77777777" w:rsidR="008E7E6D" w:rsidRPr="008308F6" w:rsidRDefault="00000000">
            <w:pPr>
              <w:rPr>
                <w:lang w:val="fr-FR"/>
              </w:rPr>
            </w:pPr>
            <w:r w:rsidRPr="008308F6">
              <w:rPr>
                <w:rFonts w:ascii="Calibri" w:eastAsia="Calibri" w:hAnsi="Calibri" w:cs="Calibri"/>
                <w:color w:val="222222"/>
                <w:sz w:val="18"/>
                <w:szCs w:val="18"/>
                <w:lang w:val="fr-FR"/>
              </w:rPr>
              <w:t>30 M€ pour 40 km forés (cas)</w:t>
            </w:r>
          </w:p>
        </w:tc>
        <w:tc>
          <w:tcPr>
            <w:tcW w:w="2400" w:type="dxa"/>
            <w:tcMar>
              <w:top w:w="80" w:type="dxa"/>
              <w:left w:w="100" w:type="dxa"/>
              <w:bottom w:w="80" w:type="dxa"/>
              <w:right w:w="100" w:type="dxa"/>
            </w:tcMar>
          </w:tcPr>
          <w:p w14:paraId="24B26869" w14:textId="77777777" w:rsidR="008E7E6D" w:rsidRDefault="00000000">
            <w:r>
              <w:rPr>
                <w:rFonts w:ascii="Calibri" w:eastAsia="Calibri" w:hAnsi="Calibri" w:cs="Calibri"/>
                <w:color w:val="222222"/>
                <w:sz w:val="18"/>
                <w:szCs w:val="18"/>
              </w:rPr>
              <w:t xml:space="preserve">Chaleur + fatale </w:t>
            </w:r>
            <w:proofErr w:type="spellStart"/>
            <w:r>
              <w:rPr>
                <w:rFonts w:ascii="Calibri" w:eastAsia="Calibri" w:hAnsi="Calibri" w:cs="Calibri"/>
                <w:color w:val="222222"/>
                <w:sz w:val="18"/>
                <w:szCs w:val="18"/>
              </w:rPr>
              <w:t>industrielle</w:t>
            </w:r>
            <w:proofErr w:type="spellEnd"/>
          </w:p>
        </w:tc>
        <w:tc>
          <w:tcPr>
            <w:tcW w:w="1600" w:type="dxa"/>
            <w:tcMar>
              <w:top w:w="80" w:type="dxa"/>
              <w:left w:w="100" w:type="dxa"/>
              <w:bottom w:w="80" w:type="dxa"/>
              <w:right w:w="100" w:type="dxa"/>
            </w:tcMar>
          </w:tcPr>
          <w:p w14:paraId="6B5C5BF5" w14:textId="77777777" w:rsidR="008E7E6D" w:rsidRDefault="00000000">
            <w:r>
              <w:rPr>
                <w:rFonts w:ascii="Calibri" w:eastAsia="Calibri" w:hAnsi="Calibri" w:cs="Calibri"/>
                <w:color w:val="222222"/>
                <w:sz w:val="18"/>
                <w:szCs w:val="18"/>
              </w:rPr>
              <w:t xml:space="preserve">Horizon </w:t>
            </w:r>
            <w:proofErr w:type="spellStart"/>
            <w:r>
              <w:rPr>
                <w:rFonts w:ascii="Calibri" w:eastAsia="Calibri" w:hAnsi="Calibri" w:cs="Calibri"/>
                <w:color w:val="222222"/>
                <w:sz w:val="18"/>
                <w:szCs w:val="18"/>
              </w:rPr>
              <w:t>mandat</w:t>
            </w:r>
            <w:proofErr w:type="spellEnd"/>
            <w:r>
              <w:rPr>
                <w:rFonts w:ascii="Calibri" w:eastAsia="Calibri" w:hAnsi="Calibri" w:cs="Calibri"/>
                <w:color w:val="222222"/>
                <w:sz w:val="18"/>
                <w:szCs w:val="18"/>
              </w:rPr>
              <w:t xml:space="preserve"> / DSP</w:t>
            </w:r>
          </w:p>
        </w:tc>
      </w:tr>
    </w:tbl>
    <w:p w14:paraId="3C5438C3" w14:textId="77777777" w:rsidR="008E7E6D" w:rsidRPr="008308F6" w:rsidRDefault="00000000">
      <w:pPr>
        <w:spacing w:before="80" w:after="200"/>
        <w:rPr>
          <w:lang w:val="fr-FR"/>
        </w:rPr>
      </w:pPr>
      <w:r w:rsidRPr="008308F6">
        <w:rPr>
          <w:rFonts w:ascii="Calibri" w:eastAsia="Calibri" w:hAnsi="Calibri" w:cs="Calibri"/>
          <w:i/>
          <w:iCs/>
          <w:color w:val="555555"/>
          <w:sz w:val="18"/>
          <w:szCs w:val="18"/>
          <w:lang w:val="fr-FR"/>
        </w:rPr>
        <w:t>Fourchettes indicatives, hors cas pathologiques (mauvais TRT, sous-dimensionnement, aides interrompues en cours de route). L'objectif +EECM n'est pas de promettre 7 ans à tout le monde ; il est de montrer que 10–20 ans est la médiane d'un système souverain bien posé.</w:t>
      </w:r>
    </w:p>
    <w:p w14:paraId="06125BEC" w14:textId="77777777" w:rsidR="008E7E6D" w:rsidRPr="008308F6" w:rsidRDefault="00000000">
      <w:pPr>
        <w:spacing w:before="260" w:after="120"/>
        <w:rPr>
          <w:lang w:val="fr-FR"/>
        </w:rPr>
      </w:pPr>
      <w:proofErr w:type="gramStart"/>
      <w:r w:rsidRPr="008308F6">
        <w:rPr>
          <w:rFonts w:ascii="Calibri" w:eastAsia="Calibri" w:hAnsi="Calibri" w:cs="Calibri"/>
          <w:b/>
          <w:bCs/>
          <w:color w:val="1F6F5C"/>
          <w:sz w:val="24"/>
          <w:szCs w:val="24"/>
          <w:lang w:val="fr-FR"/>
        </w:rPr>
        <w:lastRenderedPageBreak/>
        <w:t>9.3  Ce</w:t>
      </w:r>
      <w:proofErr w:type="gramEnd"/>
      <w:r w:rsidRPr="008308F6">
        <w:rPr>
          <w:rFonts w:ascii="Calibri" w:eastAsia="Calibri" w:hAnsi="Calibri" w:cs="Calibri"/>
          <w:b/>
          <w:bCs/>
          <w:color w:val="1F6F5C"/>
          <w:sz w:val="24"/>
          <w:szCs w:val="24"/>
          <w:lang w:val="fr-FR"/>
        </w:rPr>
        <w:t xml:space="preserve"> qui fait basculer de 20 ans à 10 ans</w:t>
      </w:r>
    </w:p>
    <w:p w14:paraId="095D205D" w14:textId="77777777" w:rsidR="008E7E6D" w:rsidRPr="008308F6" w:rsidRDefault="00000000">
      <w:pPr>
        <w:spacing w:after="160" w:line="276" w:lineRule="auto"/>
        <w:jc w:val="both"/>
        <w:rPr>
          <w:lang w:val="fr-FR"/>
        </w:rPr>
      </w:pPr>
      <w:r w:rsidRPr="008308F6">
        <w:rPr>
          <w:rFonts w:ascii="Calibri" w:eastAsia="Calibri" w:hAnsi="Calibri" w:cs="Calibri"/>
          <w:color w:val="222222"/>
          <w:sz w:val="21"/>
          <w:szCs w:val="21"/>
          <w:lang w:val="fr-FR"/>
        </w:rPr>
        <w:t xml:space="preserve">Cadence de forage → −20 </w:t>
      </w:r>
      <w:proofErr w:type="spellStart"/>
      <w:r w:rsidRPr="008308F6">
        <w:rPr>
          <w:rFonts w:ascii="Calibri" w:eastAsia="Calibri" w:hAnsi="Calibri" w:cs="Calibri"/>
          <w:color w:val="222222"/>
          <w:sz w:val="21"/>
          <w:szCs w:val="21"/>
          <w:lang w:val="fr-FR"/>
        </w:rPr>
        <w:t>à</w:t>
      </w:r>
      <w:proofErr w:type="spellEnd"/>
      <w:r w:rsidRPr="008308F6">
        <w:rPr>
          <w:rFonts w:ascii="Calibri" w:eastAsia="Calibri" w:hAnsi="Calibri" w:cs="Calibri"/>
          <w:color w:val="222222"/>
          <w:sz w:val="21"/>
          <w:szCs w:val="21"/>
          <w:lang w:val="fr-FR"/>
        </w:rPr>
        <w:t xml:space="preserve"> −40 % sur c (€/ml) à l'échelle d'un programme pluriannuel (</w:t>
      </w:r>
      <w:proofErr w:type="spellStart"/>
      <w:r w:rsidRPr="008308F6">
        <w:rPr>
          <w:rFonts w:ascii="Calibri" w:eastAsia="Calibri" w:hAnsi="Calibri" w:cs="Calibri"/>
          <w:color w:val="222222"/>
          <w:sz w:val="21"/>
          <w:szCs w:val="21"/>
          <w:lang w:val="fr-FR"/>
        </w:rPr>
        <w:t>learning</w:t>
      </w:r>
      <w:proofErr w:type="spellEnd"/>
      <w:r w:rsidRPr="008308F6">
        <w:rPr>
          <w:rFonts w:ascii="Calibri" w:eastAsia="Calibri" w:hAnsi="Calibri" w:cs="Calibri"/>
          <w:color w:val="222222"/>
          <w:sz w:val="21"/>
          <w:szCs w:val="21"/>
          <w:lang w:val="fr-FR"/>
        </w:rPr>
        <w:t xml:space="preserve"> </w:t>
      </w:r>
      <w:proofErr w:type="spellStart"/>
      <w:r w:rsidRPr="008308F6">
        <w:rPr>
          <w:rFonts w:ascii="Calibri" w:eastAsia="Calibri" w:hAnsi="Calibri" w:cs="Calibri"/>
          <w:color w:val="222222"/>
          <w:sz w:val="21"/>
          <w:szCs w:val="21"/>
          <w:lang w:val="fr-FR"/>
        </w:rPr>
        <w:t>curve</w:t>
      </w:r>
      <w:proofErr w:type="spellEnd"/>
      <w:r w:rsidRPr="008308F6">
        <w:rPr>
          <w:rFonts w:ascii="Calibri" w:eastAsia="Calibri" w:hAnsi="Calibri" w:cs="Calibri"/>
          <w:color w:val="222222"/>
          <w:sz w:val="21"/>
          <w:szCs w:val="21"/>
          <w:lang w:val="fr-FR"/>
        </w:rPr>
        <w:t xml:space="preserve"> pétrolière). Stabilité des aides sur 5 ans plutôt que stop-and-go (leçon Celsius / Fonds chaleur / Fonds vert). Revues administratives en semaines, pas en saisons de chauffe perdues. Froid d'été valorisé (canicules 2026) : le même échangeur sert deux saisons. Mutualisation inter-bâtiments (boucle, RCU, SAS avec collectivité actionnaire). Personnel stable → moins d'aléas, assurance et dette moins chères.</w:t>
      </w:r>
    </w:p>
    <w:p w14:paraId="54AF4908" w14:textId="77777777" w:rsidR="008E7E6D" w:rsidRPr="008308F6" w:rsidRDefault="00000000">
      <w:pPr>
        <w:spacing w:after="160" w:line="276" w:lineRule="auto"/>
        <w:jc w:val="both"/>
        <w:rPr>
          <w:lang w:val="fr-FR"/>
        </w:rPr>
      </w:pPr>
      <w:r w:rsidRPr="008308F6">
        <w:rPr>
          <w:rFonts w:ascii="Calibri" w:eastAsia="Calibri" w:hAnsi="Calibri" w:cs="Calibri"/>
          <w:color w:val="222222"/>
          <w:sz w:val="21"/>
          <w:szCs w:val="21"/>
          <w:lang w:val="fr-FR"/>
        </w:rPr>
        <w:t xml:space="preserve">Le §6.2 </w:t>
      </w:r>
      <w:proofErr w:type="gramStart"/>
      <w:r w:rsidRPr="008308F6">
        <w:rPr>
          <w:rFonts w:ascii="Calibri" w:eastAsia="Calibri" w:hAnsi="Calibri" w:cs="Calibri"/>
          <w:color w:val="222222"/>
          <w:sz w:val="21"/>
          <w:szCs w:val="21"/>
          <w:lang w:val="fr-FR"/>
        </w:rPr>
        <w:t>chiffre</w:t>
      </w:r>
      <w:proofErr w:type="gramEnd"/>
      <w:r w:rsidRPr="008308F6">
        <w:rPr>
          <w:rFonts w:ascii="Calibri" w:eastAsia="Calibri" w:hAnsi="Calibri" w:cs="Calibri"/>
          <w:color w:val="222222"/>
          <w:sz w:val="21"/>
          <w:szCs w:val="21"/>
          <w:lang w:val="fr-FR"/>
        </w:rPr>
        <w:t xml:space="preserve"> le mécanisme économique du levier « revues administratives en semaines » : chaque mois d'instruction évité réduit directement le coût de portage du capex forage, et raccourcit le </w:t>
      </w:r>
      <w:proofErr w:type="spellStart"/>
      <w:r w:rsidRPr="008308F6">
        <w:rPr>
          <w:rFonts w:ascii="Calibri" w:eastAsia="Calibri" w:hAnsi="Calibri" w:cs="Calibri"/>
          <w:color w:val="222222"/>
          <w:sz w:val="21"/>
          <w:szCs w:val="21"/>
          <w:lang w:val="fr-FR"/>
        </w:rPr>
        <w:t>payback</w:t>
      </w:r>
      <w:proofErr w:type="spellEnd"/>
      <w:r w:rsidRPr="008308F6">
        <w:rPr>
          <w:rFonts w:ascii="Calibri" w:eastAsia="Calibri" w:hAnsi="Calibri" w:cs="Calibri"/>
          <w:color w:val="222222"/>
          <w:sz w:val="21"/>
          <w:szCs w:val="21"/>
          <w:lang w:val="fr-FR"/>
        </w:rPr>
        <w:t xml:space="preserve"> plus sûrement qu'aucun autre levier isolé — parce qu'il agit à la fois sur le capex et sur la stabilité de l'équipe qui le met en œuvre.</w:t>
      </w:r>
    </w:p>
    <w:p w14:paraId="6391890D" w14:textId="77777777" w:rsidR="008E7E6D" w:rsidRPr="008308F6" w:rsidRDefault="00000000">
      <w:pPr>
        <w:pStyle w:val="Heading1"/>
        <w:pBdr>
          <w:bottom w:val="single" w:sz="6" w:space="4" w:color="1B3A54"/>
        </w:pBdr>
        <w:spacing w:before="420" w:after="200"/>
        <w:rPr>
          <w:lang w:val="fr-FR"/>
        </w:rPr>
      </w:pPr>
      <w:bookmarkStart w:id="9" w:name="_Toc240015687"/>
      <w:r w:rsidRPr="008308F6">
        <w:rPr>
          <w:rFonts w:ascii="Calibri" w:eastAsia="Calibri" w:hAnsi="Calibri" w:cs="Calibri"/>
          <w:b/>
          <w:bCs/>
          <w:color w:val="1B3A54"/>
          <w:sz w:val="30"/>
          <w:szCs w:val="30"/>
          <w:lang w:val="fr-FR"/>
        </w:rPr>
        <w:t>10.  Recommandations opérationnelles</w:t>
      </w:r>
      <w:bookmarkEnd w:id="9"/>
    </w:p>
    <w:p w14:paraId="6143AD0F" w14:textId="77777777" w:rsidR="008E7E6D" w:rsidRPr="008308F6" w:rsidRDefault="00000000">
      <w:pPr>
        <w:spacing w:after="140"/>
        <w:ind w:left="320" w:hanging="320"/>
        <w:jc w:val="both"/>
        <w:rPr>
          <w:lang w:val="fr-FR"/>
        </w:rPr>
      </w:pPr>
      <w:r w:rsidRPr="008308F6">
        <w:rPr>
          <w:rFonts w:ascii="Calibri" w:eastAsia="Calibri" w:hAnsi="Calibri" w:cs="Calibri"/>
          <w:b/>
          <w:bCs/>
          <w:color w:val="1F6F5C"/>
          <w:sz w:val="21"/>
          <w:szCs w:val="21"/>
          <w:lang w:val="fr-FR"/>
        </w:rPr>
        <w:t xml:space="preserve">R1.  </w:t>
      </w:r>
      <w:r w:rsidRPr="008308F6">
        <w:rPr>
          <w:rFonts w:ascii="Calibri" w:eastAsia="Calibri" w:hAnsi="Calibri" w:cs="Calibri"/>
          <w:color w:val="222222"/>
          <w:sz w:val="21"/>
          <w:szCs w:val="21"/>
          <w:lang w:val="fr-FR"/>
        </w:rPr>
        <w:t>Traiter Celsius Energy comme un signal de marché, pas comme une anecdote techno. La technique étoile doit être reprise, pas abandonnée avec la filiale.</w:t>
      </w:r>
    </w:p>
    <w:p w14:paraId="7C530385" w14:textId="77777777" w:rsidR="008E7E6D" w:rsidRPr="008308F6" w:rsidRDefault="00000000">
      <w:pPr>
        <w:spacing w:after="140"/>
        <w:ind w:left="320" w:hanging="320"/>
        <w:jc w:val="both"/>
        <w:rPr>
          <w:lang w:val="fr-FR"/>
        </w:rPr>
      </w:pPr>
      <w:r w:rsidRPr="008308F6">
        <w:rPr>
          <w:rFonts w:ascii="Calibri" w:eastAsia="Calibri" w:hAnsi="Calibri" w:cs="Calibri"/>
          <w:b/>
          <w:bCs/>
          <w:color w:val="1F6F5C"/>
          <w:sz w:val="21"/>
          <w:szCs w:val="21"/>
          <w:lang w:val="fr-FR"/>
        </w:rPr>
        <w:t xml:space="preserve">R2.  </w:t>
      </w:r>
      <w:r w:rsidRPr="008308F6">
        <w:rPr>
          <w:rFonts w:ascii="Calibri" w:eastAsia="Calibri" w:hAnsi="Calibri" w:cs="Calibri"/>
          <w:color w:val="222222"/>
          <w:sz w:val="21"/>
          <w:szCs w:val="21"/>
          <w:lang w:val="fr-FR"/>
        </w:rPr>
        <w:t>Phaser la cadence de forage sur le débit réel d'instruction administrative (projet Adaptation, §5), plutôt que d'afficher un objectif de cadence industrielle non atteignable à court terme.</w:t>
      </w:r>
    </w:p>
    <w:p w14:paraId="17BAF4D0" w14:textId="77777777" w:rsidR="008E7E6D" w:rsidRPr="008308F6" w:rsidRDefault="00000000">
      <w:pPr>
        <w:spacing w:after="140"/>
        <w:ind w:left="320" w:hanging="320"/>
        <w:jc w:val="both"/>
        <w:rPr>
          <w:lang w:val="fr-FR"/>
        </w:rPr>
      </w:pPr>
      <w:r w:rsidRPr="008308F6">
        <w:rPr>
          <w:rFonts w:ascii="Calibri" w:eastAsia="Calibri" w:hAnsi="Calibri" w:cs="Calibri"/>
          <w:b/>
          <w:bCs/>
          <w:color w:val="1F6F5C"/>
          <w:sz w:val="21"/>
          <w:szCs w:val="21"/>
          <w:lang w:val="fr-FR"/>
        </w:rPr>
        <w:t xml:space="preserve">R3.  </w:t>
      </w:r>
      <w:r w:rsidRPr="008308F6">
        <w:rPr>
          <w:rFonts w:ascii="Calibri" w:eastAsia="Calibri" w:hAnsi="Calibri" w:cs="Calibri"/>
          <w:color w:val="222222"/>
          <w:sz w:val="21"/>
          <w:szCs w:val="21"/>
          <w:lang w:val="fr-FR"/>
        </w:rPr>
        <w:t>Publier et suivre le débit d'instruction — dossiers approuvés par mois et par autorité — comme indicateur de pilotage, au même titre que le coût au mètre (§5.2).</w:t>
      </w:r>
    </w:p>
    <w:p w14:paraId="7A4E8DD3" w14:textId="77777777" w:rsidR="008E7E6D" w:rsidRPr="008308F6" w:rsidRDefault="00000000">
      <w:pPr>
        <w:spacing w:after="140"/>
        <w:ind w:left="320" w:hanging="320"/>
        <w:jc w:val="both"/>
        <w:rPr>
          <w:lang w:val="fr-FR"/>
        </w:rPr>
      </w:pPr>
      <w:r w:rsidRPr="008308F6">
        <w:rPr>
          <w:rFonts w:ascii="Calibri" w:eastAsia="Calibri" w:hAnsi="Calibri" w:cs="Calibri"/>
          <w:b/>
          <w:bCs/>
          <w:color w:val="1F6F5C"/>
          <w:sz w:val="21"/>
          <w:szCs w:val="21"/>
          <w:lang w:val="fr-FR"/>
        </w:rPr>
        <w:t xml:space="preserve">R4.  </w:t>
      </w:r>
      <w:r w:rsidRPr="008308F6">
        <w:rPr>
          <w:rFonts w:ascii="Calibri" w:eastAsia="Calibri" w:hAnsi="Calibri" w:cs="Calibri"/>
          <w:color w:val="222222"/>
          <w:sz w:val="21"/>
          <w:szCs w:val="21"/>
          <w:lang w:val="fr-FR"/>
        </w:rPr>
        <w:t>Lancer +EECM sur un premier échantillon de villes (mix social, tertiaire, industriel, RCU existant) pour publier le « loyer énergétique sans souveraineté » et le chemin 10–20 ans.</w:t>
      </w:r>
    </w:p>
    <w:p w14:paraId="32A3D5AF" w14:textId="77777777" w:rsidR="008E7E6D" w:rsidRPr="008308F6" w:rsidRDefault="00000000">
      <w:pPr>
        <w:spacing w:after="140"/>
        <w:ind w:left="320" w:hanging="320"/>
        <w:jc w:val="both"/>
        <w:rPr>
          <w:lang w:val="fr-FR"/>
        </w:rPr>
      </w:pPr>
      <w:r w:rsidRPr="008308F6">
        <w:rPr>
          <w:rFonts w:ascii="Calibri" w:eastAsia="Calibri" w:hAnsi="Calibri" w:cs="Calibri"/>
          <w:b/>
          <w:bCs/>
          <w:color w:val="1F6F5C"/>
          <w:sz w:val="21"/>
          <w:szCs w:val="21"/>
          <w:lang w:val="fr-FR"/>
        </w:rPr>
        <w:t xml:space="preserve">R5.  </w:t>
      </w:r>
      <w:r w:rsidRPr="008308F6">
        <w:rPr>
          <w:rFonts w:ascii="Calibri" w:eastAsia="Calibri" w:hAnsi="Calibri" w:cs="Calibri"/>
          <w:color w:val="222222"/>
          <w:sz w:val="21"/>
          <w:szCs w:val="21"/>
          <w:lang w:val="fr-FR"/>
        </w:rPr>
        <w:t xml:space="preserve">Conditionner Fonds chaleur / CEE / Fonds vert à l'adoption d'un plan d'amélioration continue </w:t>
      </w:r>
      <w:proofErr w:type="gramStart"/>
      <w:r w:rsidRPr="008308F6">
        <w:rPr>
          <w:rFonts w:ascii="Calibri" w:eastAsia="Calibri" w:hAnsi="Calibri" w:cs="Calibri"/>
          <w:color w:val="222222"/>
          <w:sz w:val="21"/>
          <w:szCs w:val="21"/>
          <w:lang w:val="fr-FR"/>
        </w:rPr>
        <w:t>fondé</w:t>
      </w:r>
      <w:proofErr w:type="gramEnd"/>
      <w:r w:rsidRPr="008308F6">
        <w:rPr>
          <w:rFonts w:ascii="Calibri" w:eastAsia="Calibri" w:hAnsi="Calibri" w:cs="Calibri"/>
          <w:color w:val="222222"/>
          <w:sz w:val="21"/>
          <w:szCs w:val="21"/>
          <w:lang w:val="fr-FR"/>
        </w:rPr>
        <w:t xml:space="preserve"> sur le standard opérationnel API (une quarantaine de critères), tracé et vérifiable sur chantier — et non à une couche ISO supplémentaire.</w:t>
      </w:r>
    </w:p>
    <w:p w14:paraId="524961FB" w14:textId="77777777" w:rsidR="008E7E6D" w:rsidRPr="008308F6" w:rsidRDefault="00000000">
      <w:pPr>
        <w:spacing w:after="140"/>
        <w:ind w:left="320" w:hanging="320"/>
        <w:jc w:val="both"/>
        <w:rPr>
          <w:lang w:val="fr-FR"/>
        </w:rPr>
      </w:pPr>
      <w:r w:rsidRPr="008308F6">
        <w:rPr>
          <w:rFonts w:ascii="Calibri" w:eastAsia="Calibri" w:hAnsi="Calibri" w:cs="Calibri"/>
          <w:b/>
          <w:bCs/>
          <w:color w:val="1F6F5C"/>
          <w:sz w:val="21"/>
          <w:szCs w:val="21"/>
          <w:lang w:val="fr-FR"/>
        </w:rPr>
        <w:t xml:space="preserve">R6.  </w:t>
      </w:r>
      <w:r w:rsidRPr="008308F6">
        <w:rPr>
          <w:rFonts w:ascii="Calibri" w:eastAsia="Calibri" w:hAnsi="Calibri" w:cs="Calibri"/>
          <w:color w:val="222222"/>
          <w:sz w:val="21"/>
          <w:szCs w:val="21"/>
          <w:lang w:val="fr-FR"/>
        </w:rPr>
        <w:t>Stabiliser les aides sur un plan quinquennal affiché. L'instabilité double le temps de décision ; c'est documenté.</w:t>
      </w:r>
    </w:p>
    <w:p w14:paraId="6440B7FE" w14:textId="77777777" w:rsidR="008E7E6D" w:rsidRPr="008308F6" w:rsidRDefault="00000000">
      <w:pPr>
        <w:spacing w:after="140"/>
        <w:ind w:left="320" w:hanging="320"/>
        <w:jc w:val="both"/>
        <w:rPr>
          <w:lang w:val="fr-FR"/>
        </w:rPr>
      </w:pPr>
      <w:r w:rsidRPr="008308F6">
        <w:rPr>
          <w:rFonts w:ascii="Calibri" w:eastAsia="Calibri" w:hAnsi="Calibri" w:cs="Calibri"/>
          <w:b/>
          <w:bCs/>
          <w:color w:val="1F6F5C"/>
          <w:sz w:val="21"/>
          <w:szCs w:val="21"/>
          <w:lang w:val="fr-FR"/>
        </w:rPr>
        <w:t xml:space="preserve">R7.  </w:t>
      </w:r>
      <w:r w:rsidRPr="008308F6">
        <w:rPr>
          <w:rFonts w:ascii="Calibri" w:eastAsia="Calibri" w:hAnsi="Calibri" w:cs="Calibri"/>
          <w:color w:val="222222"/>
          <w:sz w:val="21"/>
          <w:szCs w:val="21"/>
          <w:lang w:val="fr-FR"/>
        </w:rPr>
        <w:t>Passer les revues DREAL/DRIEAT / ADEME / préfecture en régime de cadence : présence terrain des réviseurs, archives relues en heures, certificats périmés rejetés.</w:t>
      </w:r>
    </w:p>
    <w:p w14:paraId="21DF7500" w14:textId="77777777" w:rsidR="008E7E6D" w:rsidRPr="008308F6" w:rsidRDefault="00000000">
      <w:pPr>
        <w:spacing w:after="140"/>
        <w:ind w:left="320" w:hanging="320"/>
        <w:jc w:val="both"/>
        <w:rPr>
          <w:lang w:val="fr-FR"/>
        </w:rPr>
      </w:pPr>
      <w:r w:rsidRPr="008308F6">
        <w:rPr>
          <w:rFonts w:ascii="Calibri" w:eastAsia="Calibri" w:hAnsi="Calibri" w:cs="Calibri"/>
          <w:b/>
          <w:bCs/>
          <w:color w:val="1F6F5C"/>
          <w:sz w:val="21"/>
          <w:szCs w:val="21"/>
          <w:lang w:val="fr-FR"/>
        </w:rPr>
        <w:t xml:space="preserve">R8.  </w:t>
      </w:r>
      <w:r w:rsidRPr="008308F6">
        <w:rPr>
          <w:rFonts w:ascii="Calibri" w:eastAsia="Calibri" w:hAnsi="Calibri" w:cs="Calibri"/>
          <w:color w:val="222222"/>
          <w:sz w:val="21"/>
          <w:szCs w:val="21"/>
          <w:lang w:val="fr-FR"/>
        </w:rPr>
        <w:t>Dimensionner les écoles de forage sur des carnets européens 24 mois (collectivités, bailleurs, industrie, RCU). Pas de promotion sans mètres aval.</w:t>
      </w:r>
    </w:p>
    <w:p w14:paraId="14983FCB" w14:textId="77777777" w:rsidR="008E7E6D" w:rsidRPr="008308F6" w:rsidRDefault="00000000">
      <w:pPr>
        <w:spacing w:after="140"/>
        <w:ind w:left="320" w:hanging="320"/>
        <w:jc w:val="both"/>
        <w:rPr>
          <w:lang w:val="fr-FR"/>
        </w:rPr>
      </w:pPr>
      <w:r w:rsidRPr="008308F6">
        <w:rPr>
          <w:rFonts w:ascii="Calibri" w:eastAsia="Calibri" w:hAnsi="Calibri" w:cs="Calibri"/>
          <w:b/>
          <w:bCs/>
          <w:color w:val="1F6F5C"/>
          <w:sz w:val="21"/>
          <w:szCs w:val="21"/>
          <w:lang w:val="fr-FR"/>
        </w:rPr>
        <w:t xml:space="preserve">R9.  </w:t>
      </w:r>
      <w:r w:rsidRPr="008308F6">
        <w:rPr>
          <w:rFonts w:ascii="Calibri" w:eastAsia="Calibri" w:hAnsi="Calibri" w:cs="Calibri"/>
          <w:color w:val="222222"/>
          <w:sz w:val="21"/>
          <w:szCs w:val="21"/>
          <w:lang w:val="fr-FR"/>
        </w:rPr>
        <w:t>Revaloriser les métiers de base et l'hébergement de chantier, et sécuriser la continuité contractuelle des équipes en CDD, pour réduire le recours à des statuts moins protecteurs sous tension de calendrier (§6.3).</w:t>
      </w:r>
    </w:p>
    <w:p w14:paraId="2FD40A77" w14:textId="77777777" w:rsidR="008E7E6D" w:rsidRPr="008308F6" w:rsidRDefault="00000000">
      <w:pPr>
        <w:spacing w:after="140"/>
        <w:ind w:left="320" w:hanging="320"/>
        <w:jc w:val="both"/>
        <w:rPr>
          <w:lang w:val="fr-FR"/>
        </w:rPr>
      </w:pPr>
      <w:r w:rsidRPr="008308F6">
        <w:rPr>
          <w:rFonts w:ascii="Calibri" w:eastAsia="Calibri" w:hAnsi="Calibri" w:cs="Calibri"/>
          <w:b/>
          <w:bCs/>
          <w:color w:val="1F6F5C"/>
          <w:sz w:val="21"/>
          <w:szCs w:val="21"/>
          <w:lang w:val="fr-FR"/>
        </w:rPr>
        <w:t xml:space="preserve">R10.  </w:t>
      </w:r>
      <w:r w:rsidRPr="008308F6">
        <w:rPr>
          <w:rFonts w:ascii="Calibri" w:eastAsia="Calibri" w:hAnsi="Calibri" w:cs="Calibri"/>
          <w:color w:val="222222"/>
          <w:sz w:val="21"/>
          <w:szCs w:val="21"/>
          <w:lang w:val="fr-FR"/>
        </w:rPr>
        <w:t>Porter la massification à l'échelle européenne (Action Plan géothermie, harmonisation Ø et autorisations, commandes groupées) pour que le coût au mètre baisse vraiment.</w:t>
      </w:r>
    </w:p>
    <w:p w14:paraId="74A24826" w14:textId="77777777" w:rsidR="008E7E6D" w:rsidRPr="008308F6" w:rsidRDefault="00000000">
      <w:pPr>
        <w:spacing w:after="140"/>
        <w:ind w:left="320" w:hanging="320"/>
        <w:jc w:val="both"/>
        <w:rPr>
          <w:lang w:val="fr-FR"/>
        </w:rPr>
      </w:pPr>
      <w:r w:rsidRPr="008308F6">
        <w:rPr>
          <w:rFonts w:ascii="Calibri" w:eastAsia="Calibri" w:hAnsi="Calibri" w:cs="Calibri"/>
          <w:b/>
          <w:bCs/>
          <w:color w:val="1F6F5C"/>
          <w:sz w:val="21"/>
          <w:szCs w:val="21"/>
          <w:lang w:val="fr-FR"/>
        </w:rPr>
        <w:t xml:space="preserve">R11.  </w:t>
      </w:r>
      <w:r w:rsidRPr="008308F6">
        <w:rPr>
          <w:rFonts w:ascii="Calibri" w:eastAsia="Calibri" w:hAnsi="Calibri" w:cs="Calibri"/>
          <w:color w:val="222222"/>
          <w:sz w:val="21"/>
          <w:szCs w:val="21"/>
          <w:lang w:val="fr-FR"/>
        </w:rPr>
        <w:t>Intégrer le froid d'été et le coût du délai d'instruction dans tous les business plans. Ni l'un ni l'autre n'est un à-côté ; ce sont des lignes de recettes évitées ou de surcoût direct.</w:t>
      </w:r>
    </w:p>
    <w:p w14:paraId="10B6E09B" w14:textId="77777777" w:rsidR="008E7E6D" w:rsidRPr="008308F6" w:rsidRDefault="00000000">
      <w:pPr>
        <w:pStyle w:val="Heading1"/>
        <w:pBdr>
          <w:bottom w:val="single" w:sz="6" w:space="4" w:color="1B3A54"/>
        </w:pBdr>
        <w:spacing w:before="420" w:after="200"/>
        <w:rPr>
          <w:lang w:val="fr-FR"/>
        </w:rPr>
      </w:pPr>
      <w:bookmarkStart w:id="10" w:name="_Toc240015688"/>
      <w:r w:rsidRPr="008308F6">
        <w:rPr>
          <w:rFonts w:ascii="Calibri" w:eastAsia="Calibri" w:hAnsi="Calibri" w:cs="Calibri"/>
          <w:b/>
          <w:bCs/>
          <w:color w:val="1B3A54"/>
          <w:sz w:val="30"/>
          <w:szCs w:val="30"/>
          <w:lang w:val="fr-FR"/>
        </w:rPr>
        <w:t>11.  Synthèse pour le décideur</w:t>
      </w:r>
      <w:bookmarkEnd w:id="10"/>
    </w:p>
    <w:p w14:paraId="52D34518" w14:textId="77777777" w:rsidR="008E7E6D" w:rsidRPr="008308F6" w:rsidRDefault="00000000">
      <w:pPr>
        <w:spacing w:after="160" w:line="276" w:lineRule="auto"/>
        <w:jc w:val="both"/>
        <w:rPr>
          <w:lang w:val="fr-FR"/>
        </w:rPr>
      </w:pPr>
      <w:r w:rsidRPr="008308F6">
        <w:rPr>
          <w:rFonts w:ascii="Calibri" w:eastAsia="Calibri" w:hAnsi="Calibri" w:cs="Calibri"/>
          <w:color w:val="222222"/>
          <w:sz w:val="21"/>
          <w:szCs w:val="21"/>
          <w:lang w:val="fr-FR"/>
        </w:rPr>
        <w:t>La géothermie n'a pas un problème de physique. Elle a un problème d'échelle, de temps de décision — et, en France plus qu'ailleurs, un problème de débit d'instruction administrative. Celsius Energy l'a payé cash : techno juste, marché trop lent, aides instables, capex forage non socialisé par la cadence. L'Europe peut inverser la courbe si elle cesse de traiter chaque puits comme un prototype administratif ; la France, plus spécifiquement, ne pourra viser une cadence de type Oman qu'après avoir résolu le débit d'instruction qui l'en sépare aujourd'hui.</w:t>
      </w:r>
    </w:p>
    <w:p w14:paraId="0E0E78B2" w14:textId="77777777" w:rsidR="008E7E6D" w:rsidRPr="008308F6" w:rsidRDefault="00000000">
      <w:pPr>
        <w:spacing w:after="160" w:line="276" w:lineRule="auto"/>
        <w:jc w:val="both"/>
        <w:rPr>
          <w:lang w:val="fr-FR"/>
        </w:rPr>
      </w:pPr>
      <w:r w:rsidRPr="008308F6">
        <w:rPr>
          <w:rFonts w:ascii="Calibri" w:eastAsia="Calibri" w:hAnsi="Calibri" w:cs="Calibri"/>
          <w:color w:val="222222"/>
          <w:sz w:val="21"/>
          <w:szCs w:val="21"/>
          <w:lang w:val="fr-FR"/>
        </w:rPr>
        <w:t xml:space="preserve">Adapter, c'est donc la première étape : ajuster la cadence visée au débit réel d'approbation, conditionner les aides à un protocole opérationnel simple et vérifiable, faire du délai d'instruction une variable de pilotage suivie. </w:t>
      </w:r>
      <w:r w:rsidRPr="008308F6">
        <w:rPr>
          <w:rFonts w:ascii="Calibri" w:eastAsia="Calibri" w:hAnsi="Calibri" w:cs="Calibri"/>
          <w:color w:val="222222"/>
          <w:sz w:val="21"/>
          <w:szCs w:val="21"/>
          <w:lang w:val="fr-FR"/>
        </w:rPr>
        <w:lastRenderedPageBreak/>
        <w:t>Massifier reste l'étape suivante : rentabiliser les formations, fiabiliser le personnel et faire tomber le coût au mètre, à l'échelle européenne. +EECM sert à démontrer, ville par ville, où se paie encore la facture de l'absence de souveraineté. Objectif de place : un système souverain plus efficace, remboursé en 10 à 20 ans en moyenne, sondes encore là 40 ans après — et un débit d'instruction qui ne vient plus, entre-temps, grever ce calcul.</w:t>
      </w:r>
    </w:p>
    <w:p w14:paraId="5C39095F" w14:textId="77777777" w:rsidR="008E7E6D" w:rsidRPr="008308F6" w:rsidRDefault="00000000">
      <w:pPr>
        <w:pStyle w:val="Heading1"/>
        <w:pBdr>
          <w:bottom w:val="single" w:sz="6" w:space="4" w:color="1B3A54"/>
        </w:pBdr>
        <w:spacing w:before="420" w:after="200"/>
        <w:rPr>
          <w:lang w:val="fr-FR"/>
        </w:rPr>
      </w:pPr>
      <w:bookmarkStart w:id="11" w:name="_Toc240015689"/>
      <w:r w:rsidRPr="008308F6">
        <w:rPr>
          <w:rFonts w:ascii="Calibri" w:eastAsia="Calibri" w:hAnsi="Calibri" w:cs="Calibri"/>
          <w:b/>
          <w:bCs/>
          <w:color w:val="1B3A54"/>
          <w:sz w:val="30"/>
          <w:szCs w:val="30"/>
          <w:lang w:val="fr-FR"/>
        </w:rPr>
        <w:t>Références</w:t>
      </w:r>
      <w:bookmarkEnd w:id="11"/>
    </w:p>
    <w:p w14:paraId="13297102" w14:textId="77777777" w:rsidR="008E7E6D" w:rsidRPr="008308F6" w:rsidRDefault="00000000">
      <w:pPr>
        <w:spacing w:after="110"/>
        <w:jc w:val="both"/>
        <w:rPr>
          <w:lang w:val="fr-FR"/>
        </w:rPr>
      </w:pPr>
      <w:r w:rsidRPr="008308F6">
        <w:rPr>
          <w:rFonts w:ascii="Calibri" w:eastAsia="Calibri" w:hAnsi="Calibri" w:cs="Calibri"/>
          <w:b/>
          <w:bCs/>
          <w:sz w:val="19"/>
          <w:szCs w:val="19"/>
          <w:lang w:val="fr-FR"/>
        </w:rPr>
        <w:t xml:space="preserve">Hamon-Beugin V. — </w:t>
      </w:r>
      <w:r w:rsidRPr="008308F6">
        <w:rPr>
          <w:rFonts w:ascii="Calibri" w:eastAsia="Calibri" w:hAnsi="Calibri" w:cs="Calibri"/>
          <w:sz w:val="19"/>
          <w:szCs w:val="19"/>
          <w:lang w:val="fr-FR"/>
        </w:rPr>
        <w:t xml:space="preserve">L'Usine Nouvelle, 10 septembre 2026 (Celsius Energy / C. </w:t>
      </w:r>
      <w:proofErr w:type="spellStart"/>
      <w:r w:rsidRPr="008308F6">
        <w:rPr>
          <w:rFonts w:ascii="Calibri" w:eastAsia="Calibri" w:hAnsi="Calibri" w:cs="Calibri"/>
          <w:sz w:val="19"/>
          <w:szCs w:val="19"/>
          <w:lang w:val="fr-FR"/>
        </w:rPr>
        <w:t>Demichel</w:t>
      </w:r>
      <w:proofErr w:type="spellEnd"/>
      <w:r w:rsidRPr="008308F6">
        <w:rPr>
          <w:rFonts w:ascii="Calibri" w:eastAsia="Calibri" w:hAnsi="Calibri" w:cs="Calibri"/>
          <w:sz w:val="19"/>
          <w:szCs w:val="19"/>
          <w:lang w:val="fr-FR"/>
        </w:rPr>
        <w:t xml:space="preserve">). </w:t>
      </w:r>
      <w:r w:rsidRPr="008308F6">
        <w:rPr>
          <w:rFonts w:ascii="Calibri" w:eastAsia="Calibri" w:hAnsi="Calibri" w:cs="Calibri"/>
          <w:color w:val="2E5B8A"/>
          <w:sz w:val="19"/>
          <w:szCs w:val="19"/>
          <w:lang w:val="fr-FR"/>
        </w:rPr>
        <w:t>https://www.usinenouvelle.com</w:t>
      </w:r>
    </w:p>
    <w:p w14:paraId="37E117FE" w14:textId="77777777" w:rsidR="008E7E6D" w:rsidRPr="008308F6" w:rsidRDefault="00000000">
      <w:pPr>
        <w:spacing w:after="110"/>
        <w:jc w:val="both"/>
        <w:rPr>
          <w:lang w:val="fr-FR"/>
        </w:rPr>
      </w:pPr>
      <w:r w:rsidRPr="008308F6">
        <w:rPr>
          <w:rFonts w:ascii="Calibri" w:eastAsia="Calibri" w:hAnsi="Calibri" w:cs="Calibri"/>
          <w:b/>
          <w:bCs/>
          <w:sz w:val="19"/>
          <w:szCs w:val="19"/>
          <w:lang w:val="fr-FR"/>
        </w:rPr>
        <w:t xml:space="preserve">PPE3 — </w:t>
      </w:r>
      <w:r w:rsidRPr="008308F6">
        <w:rPr>
          <w:rFonts w:ascii="Calibri" w:eastAsia="Calibri" w:hAnsi="Calibri" w:cs="Calibri"/>
          <w:sz w:val="19"/>
          <w:szCs w:val="19"/>
          <w:lang w:val="fr-FR"/>
        </w:rPr>
        <w:t xml:space="preserve">Programmation pluriannuelle de l'énergie, ministère chargé de l'Énergie. </w:t>
      </w:r>
      <w:r w:rsidRPr="008308F6">
        <w:rPr>
          <w:rFonts w:ascii="Calibri" w:eastAsia="Calibri" w:hAnsi="Calibri" w:cs="Calibri"/>
          <w:color w:val="2E5B8A"/>
          <w:sz w:val="19"/>
          <w:szCs w:val="19"/>
          <w:lang w:val="fr-FR"/>
        </w:rPr>
        <w:t>https://www.ecologie.gouv.fr</w:t>
      </w:r>
    </w:p>
    <w:p w14:paraId="516242F0" w14:textId="77777777" w:rsidR="008E7E6D" w:rsidRPr="008308F6" w:rsidRDefault="00000000">
      <w:pPr>
        <w:spacing w:after="110"/>
        <w:jc w:val="both"/>
        <w:rPr>
          <w:lang w:val="fr-FR"/>
        </w:rPr>
      </w:pPr>
      <w:r w:rsidRPr="008308F6">
        <w:rPr>
          <w:rFonts w:ascii="Calibri" w:eastAsia="Calibri" w:hAnsi="Calibri" w:cs="Calibri"/>
          <w:b/>
          <w:bCs/>
          <w:sz w:val="19"/>
          <w:szCs w:val="19"/>
          <w:lang w:val="fr-FR"/>
        </w:rPr>
        <w:t xml:space="preserve">AFPG — </w:t>
      </w:r>
      <w:r w:rsidRPr="008308F6">
        <w:rPr>
          <w:rFonts w:ascii="Calibri" w:eastAsia="Calibri" w:hAnsi="Calibri" w:cs="Calibri"/>
          <w:sz w:val="19"/>
          <w:szCs w:val="19"/>
          <w:lang w:val="fr-FR"/>
        </w:rPr>
        <w:t xml:space="preserve">Association Française des Professionnels de la Géothermie, études de filière. </w:t>
      </w:r>
      <w:r w:rsidRPr="008308F6">
        <w:rPr>
          <w:rFonts w:ascii="Calibri" w:eastAsia="Calibri" w:hAnsi="Calibri" w:cs="Calibri"/>
          <w:color w:val="2E5B8A"/>
          <w:sz w:val="19"/>
          <w:szCs w:val="19"/>
          <w:lang w:val="fr-FR"/>
        </w:rPr>
        <w:t>https://afpg.asso.fr</w:t>
      </w:r>
    </w:p>
    <w:p w14:paraId="41AEDEF5" w14:textId="77777777" w:rsidR="008E7E6D" w:rsidRPr="008308F6" w:rsidRDefault="00000000">
      <w:pPr>
        <w:spacing w:after="110"/>
        <w:jc w:val="both"/>
        <w:rPr>
          <w:lang w:val="fr-FR"/>
        </w:rPr>
      </w:pPr>
      <w:r w:rsidRPr="008308F6">
        <w:rPr>
          <w:rFonts w:ascii="Calibri" w:eastAsia="Calibri" w:hAnsi="Calibri" w:cs="Calibri"/>
          <w:b/>
          <w:bCs/>
          <w:sz w:val="19"/>
          <w:szCs w:val="19"/>
          <w:lang w:val="fr-FR"/>
        </w:rPr>
        <w:t xml:space="preserve">Cour des comptes — </w:t>
      </w:r>
      <w:r w:rsidRPr="008308F6">
        <w:rPr>
          <w:rFonts w:ascii="Calibri" w:eastAsia="Calibri" w:hAnsi="Calibri" w:cs="Calibri"/>
          <w:sz w:val="19"/>
          <w:szCs w:val="19"/>
          <w:lang w:val="fr-FR"/>
        </w:rPr>
        <w:t xml:space="preserve">Soutiens publics à la géothermie, janvier 2026. </w:t>
      </w:r>
      <w:r w:rsidRPr="008308F6">
        <w:rPr>
          <w:rFonts w:ascii="Calibri" w:eastAsia="Calibri" w:hAnsi="Calibri" w:cs="Calibri"/>
          <w:color w:val="2E5B8A"/>
          <w:sz w:val="19"/>
          <w:szCs w:val="19"/>
          <w:lang w:val="fr-FR"/>
        </w:rPr>
        <w:t>https://www.ccomptes.fr</w:t>
      </w:r>
    </w:p>
    <w:p w14:paraId="6CAC3AD0" w14:textId="77777777" w:rsidR="008E7E6D" w:rsidRDefault="00000000">
      <w:pPr>
        <w:spacing w:after="110"/>
        <w:jc w:val="both"/>
      </w:pPr>
      <w:r>
        <w:rPr>
          <w:rFonts w:ascii="Calibri" w:eastAsia="Calibri" w:hAnsi="Calibri" w:cs="Calibri"/>
          <w:b/>
          <w:bCs/>
          <w:sz w:val="19"/>
          <w:szCs w:val="19"/>
        </w:rPr>
        <w:t xml:space="preserve">EGEC — </w:t>
      </w:r>
      <w:r>
        <w:rPr>
          <w:rFonts w:ascii="Calibri" w:eastAsia="Calibri" w:hAnsi="Calibri" w:cs="Calibri"/>
          <w:sz w:val="19"/>
          <w:szCs w:val="19"/>
        </w:rPr>
        <w:t xml:space="preserve">European Geothermal Energy Council, 2026. </w:t>
      </w:r>
      <w:r>
        <w:rPr>
          <w:rFonts w:ascii="Calibri" w:eastAsia="Calibri" w:hAnsi="Calibri" w:cs="Calibri"/>
          <w:color w:val="2E5B8A"/>
          <w:sz w:val="19"/>
          <w:szCs w:val="19"/>
        </w:rPr>
        <w:t>https://www.egec.org</w:t>
      </w:r>
    </w:p>
    <w:p w14:paraId="2659274A" w14:textId="77777777" w:rsidR="008E7E6D" w:rsidRPr="008308F6" w:rsidRDefault="00000000">
      <w:pPr>
        <w:spacing w:after="110"/>
        <w:jc w:val="both"/>
        <w:rPr>
          <w:lang w:val="fr-FR"/>
        </w:rPr>
      </w:pPr>
      <w:r w:rsidRPr="008308F6">
        <w:rPr>
          <w:rFonts w:ascii="Calibri" w:eastAsia="Calibri" w:hAnsi="Calibri" w:cs="Calibri"/>
          <w:b/>
          <w:bCs/>
          <w:sz w:val="19"/>
          <w:szCs w:val="19"/>
          <w:lang w:val="fr-FR"/>
        </w:rPr>
        <w:t xml:space="preserve">Ember Energy — </w:t>
      </w:r>
      <w:r w:rsidRPr="008308F6">
        <w:rPr>
          <w:rFonts w:ascii="Calibri" w:eastAsia="Calibri" w:hAnsi="Calibri" w:cs="Calibri"/>
          <w:sz w:val="19"/>
          <w:szCs w:val="19"/>
          <w:lang w:val="fr-FR"/>
        </w:rPr>
        <w:t xml:space="preserve">Estimations de potentiel EGS en Europe, 2026. </w:t>
      </w:r>
      <w:r w:rsidRPr="008308F6">
        <w:rPr>
          <w:rFonts w:ascii="Calibri" w:eastAsia="Calibri" w:hAnsi="Calibri" w:cs="Calibri"/>
          <w:color w:val="2E5B8A"/>
          <w:sz w:val="19"/>
          <w:szCs w:val="19"/>
          <w:lang w:val="fr-FR"/>
        </w:rPr>
        <w:t>https://ember-energy.org</w:t>
      </w:r>
    </w:p>
    <w:p w14:paraId="454500BF" w14:textId="77777777" w:rsidR="008E7E6D" w:rsidRPr="008308F6" w:rsidRDefault="00000000">
      <w:pPr>
        <w:spacing w:after="110"/>
        <w:jc w:val="both"/>
        <w:rPr>
          <w:lang w:val="fr-FR"/>
        </w:rPr>
      </w:pPr>
      <w:r w:rsidRPr="008308F6">
        <w:rPr>
          <w:rFonts w:ascii="Calibri" w:eastAsia="Calibri" w:hAnsi="Calibri" w:cs="Calibri"/>
          <w:b/>
          <w:bCs/>
          <w:sz w:val="19"/>
          <w:szCs w:val="19"/>
          <w:lang w:val="fr-FR"/>
        </w:rPr>
        <w:t xml:space="preserve">Cerema — </w:t>
      </w:r>
      <w:proofErr w:type="spellStart"/>
      <w:r w:rsidRPr="008308F6">
        <w:rPr>
          <w:rFonts w:ascii="Calibri" w:eastAsia="Calibri" w:hAnsi="Calibri" w:cs="Calibri"/>
          <w:sz w:val="19"/>
          <w:szCs w:val="19"/>
          <w:lang w:val="fr-FR"/>
        </w:rPr>
        <w:t>BatEnR</w:t>
      </w:r>
      <w:proofErr w:type="spellEnd"/>
      <w:r w:rsidRPr="008308F6">
        <w:rPr>
          <w:rFonts w:ascii="Calibri" w:eastAsia="Calibri" w:hAnsi="Calibri" w:cs="Calibri"/>
          <w:sz w:val="19"/>
          <w:szCs w:val="19"/>
          <w:lang w:val="fr-FR"/>
        </w:rPr>
        <w:t xml:space="preserve"> — potentiel EnR thermique du bâti. </w:t>
      </w:r>
      <w:r w:rsidRPr="008308F6">
        <w:rPr>
          <w:rFonts w:ascii="Calibri" w:eastAsia="Calibri" w:hAnsi="Calibri" w:cs="Calibri"/>
          <w:color w:val="2E5B8A"/>
          <w:sz w:val="19"/>
          <w:szCs w:val="19"/>
          <w:lang w:val="fr-FR"/>
        </w:rPr>
        <w:t>https://www.cerema.fr</w:t>
      </w:r>
    </w:p>
    <w:p w14:paraId="033A8871" w14:textId="77777777" w:rsidR="008E7E6D" w:rsidRPr="008308F6" w:rsidRDefault="00000000">
      <w:pPr>
        <w:spacing w:after="110"/>
        <w:jc w:val="both"/>
        <w:rPr>
          <w:lang w:val="fr-FR"/>
        </w:rPr>
      </w:pPr>
      <w:r w:rsidRPr="008308F6">
        <w:rPr>
          <w:rFonts w:ascii="Calibri" w:eastAsia="Calibri" w:hAnsi="Calibri" w:cs="Calibri"/>
          <w:b/>
          <w:bCs/>
          <w:sz w:val="19"/>
          <w:szCs w:val="19"/>
          <w:lang w:val="fr-FR"/>
        </w:rPr>
        <w:t xml:space="preserve">IFP — </w:t>
      </w:r>
      <w:r w:rsidRPr="008308F6">
        <w:rPr>
          <w:rFonts w:ascii="Calibri" w:eastAsia="Calibri" w:hAnsi="Calibri" w:cs="Calibri"/>
          <w:sz w:val="19"/>
          <w:szCs w:val="19"/>
          <w:lang w:val="fr-FR"/>
        </w:rPr>
        <w:t xml:space="preserve">Formulaire du foreur, ISBN 2-7108-0560-X. </w:t>
      </w:r>
    </w:p>
    <w:p w14:paraId="7790FD7C" w14:textId="77777777" w:rsidR="008E7E6D" w:rsidRPr="008308F6" w:rsidRDefault="00000000">
      <w:pPr>
        <w:spacing w:after="110"/>
        <w:jc w:val="both"/>
        <w:rPr>
          <w:lang w:val="fr-FR"/>
        </w:rPr>
      </w:pPr>
      <w:r w:rsidRPr="008308F6">
        <w:rPr>
          <w:rFonts w:ascii="Calibri" w:eastAsia="Calibri" w:hAnsi="Calibri" w:cs="Calibri"/>
          <w:b/>
          <w:bCs/>
          <w:sz w:val="19"/>
          <w:szCs w:val="19"/>
          <w:lang w:val="fr-FR"/>
        </w:rPr>
        <w:t xml:space="preserve">ADEME — </w:t>
      </w:r>
      <w:r w:rsidRPr="008308F6">
        <w:rPr>
          <w:rFonts w:ascii="Calibri" w:eastAsia="Calibri" w:hAnsi="Calibri" w:cs="Calibri"/>
          <w:sz w:val="19"/>
          <w:szCs w:val="19"/>
          <w:lang w:val="fr-FR"/>
        </w:rPr>
        <w:t xml:space="preserve">Aides à la géothermie. </w:t>
      </w:r>
      <w:r w:rsidRPr="008308F6">
        <w:rPr>
          <w:rFonts w:ascii="Calibri" w:eastAsia="Calibri" w:hAnsi="Calibri" w:cs="Calibri"/>
          <w:color w:val="2E5B8A"/>
          <w:sz w:val="19"/>
          <w:szCs w:val="19"/>
          <w:lang w:val="fr-FR"/>
        </w:rPr>
        <w:t>https://www.ademe.fr</w:t>
      </w:r>
    </w:p>
    <w:p w14:paraId="10598539" w14:textId="77777777" w:rsidR="008E7E6D" w:rsidRPr="008308F6" w:rsidRDefault="00000000">
      <w:pPr>
        <w:spacing w:after="110"/>
        <w:jc w:val="both"/>
        <w:rPr>
          <w:lang w:val="fr-FR"/>
        </w:rPr>
      </w:pPr>
      <w:r w:rsidRPr="008308F6">
        <w:rPr>
          <w:rFonts w:ascii="Calibri" w:eastAsia="Calibri" w:hAnsi="Calibri" w:cs="Calibri"/>
          <w:b/>
          <w:bCs/>
          <w:sz w:val="19"/>
          <w:szCs w:val="19"/>
          <w:lang w:val="fr-FR"/>
        </w:rPr>
        <w:t xml:space="preserve">PDO — </w:t>
      </w:r>
      <w:r w:rsidRPr="008308F6">
        <w:rPr>
          <w:rFonts w:ascii="Calibri" w:eastAsia="Calibri" w:hAnsi="Calibri" w:cs="Calibri"/>
          <w:sz w:val="19"/>
          <w:szCs w:val="19"/>
          <w:lang w:val="fr-FR"/>
        </w:rPr>
        <w:t xml:space="preserve">Petroleum </w:t>
      </w:r>
      <w:proofErr w:type="spellStart"/>
      <w:r w:rsidRPr="008308F6">
        <w:rPr>
          <w:rFonts w:ascii="Calibri" w:eastAsia="Calibri" w:hAnsi="Calibri" w:cs="Calibri"/>
          <w:sz w:val="19"/>
          <w:szCs w:val="19"/>
          <w:lang w:val="fr-FR"/>
        </w:rPr>
        <w:t>Development</w:t>
      </w:r>
      <w:proofErr w:type="spellEnd"/>
      <w:r w:rsidRPr="008308F6">
        <w:rPr>
          <w:rFonts w:ascii="Calibri" w:eastAsia="Calibri" w:hAnsi="Calibri" w:cs="Calibri"/>
          <w:sz w:val="19"/>
          <w:szCs w:val="19"/>
          <w:lang w:val="fr-FR"/>
        </w:rPr>
        <w:t xml:space="preserve"> Oman, données de production annuelle de puits. </w:t>
      </w:r>
      <w:r w:rsidRPr="008308F6">
        <w:rPr>
          <w:rFonts w:ascii="Calibri" w:eastAsia="Calibri" w:hAnsi="Calibri" w:cs="Calibri"/>
          <w:color w:val="2E5B8A"/>
          <w:sz w:val="19"/>
          <w:szCs w:val="19"/>
          <w:lang w:val="fr-FR"/>
        </w:rPr>
        <w:t>https://www.pdo.co.om</w:t>
      </w:r>
    </w:p>
    <w:p w14:paraId="555899D2" w14:textId="77777777" w:rsidR="008E7E6D" w:rsidRPr="008308F6" w:rsidRDefault="00000000">
      <w:pPr>
        <w:spacing w:after="110"/>
        <w:jc w:val="both"/>
        <w:rPr>
          <w:lang w:val="fr-FR"/>
        </w:rPr>
      </w:pPr>
      <w:r w:rsidRPr="008308F6">
        <w:rPr>
          <w:rFonts w:ascii="Calibri" w:eastAsia="Calibri" w:hAnsi="Calibri" w:cs="Calibri"/>
          <w:b/>
          <w:bCs/>
          <w:sz w:val="19"/>
          <w:szCs w:val="19"/>
          <w:lang w:val="fr-FR"/>
        </w:rPr>
        <w:t xml:space="preserve">Retour d'expérience de terrain — </w:t>
      </w:r>
      <w:r w:rsidRPr="008308F6">
        <w:rPr>
          <w:rFonts w:ascii="Calibri" w:eastAsia="Calibri" w:hAnsi="Calibri" w:cs="Calibri"/>
          <w:sz w:val="19"/>
          <w:szCs w:val="19"/>
          <w:lang w:val="fr-FR"/>
        </w:rPr>
        <w:t xml:space="preserve">Correspondance transmise aux services du Premier ministre puis au ministère chargé de l'Énergie, 2026 — source anonymisée à la demande de l'auteur, non publiée. </w:t>
      </w:r>
    </w:p>
    <w:p w14:paraId="4311FD62" w14:textId="77777777" w:rsidR="008E7E6D" w:rsidRPr="008308F6" w:rsidRDefault="00000000">
      <w:pPr>
        <w:pStyle w:val="Heading1"/>
        <w:pBdr>
          <w:bottom w:val="single" w:sz="6" w:space="4" w:color="1B3A54"/>
        </w:pBdr>
        <w:spacing w:before="420" w:after="200"/>
        <w:rPr>
          <w:lang w:val="fr-FR"/>
        </w:rPr>
      </w:pPr>
      <w:bookmarkStart w:id="12" w:name="_Toc240015690"/>
      <w:r w:rsidRPr="008308F6">
        <w:rPr>
          <w:rFonts w:ascii="Calibri" w:eastAsia="Calibri" w:hAnsi="Calibri" w:cs="Calibri"/>
          <w:b/>
          <w:bCs/>
          <w:color w:val="1B3A54"/>
          <w:sz w:val="30"/>
          <w:szCs w:val="30"/>
          <w:lang w:val="fr-FR"/>
        </w:rPr>
        <w:t>Définition des acronymes</w:t>
      </w:r>
      <w:bookmarkEnd w:id="12"/>
    </w:p>
    <w:p w14:paraId="24326841" w14:textId="77777777" w:rsidR="008E7E6D" w:rsidRPr="008308F6" w:rsidRDefault="00000000">
      <w:pPr>
        <w:spacing w:after="80"/>
        <w:rPr>
          <w:lang w:val="fr-FR"/>
        </w:rPr>
      </w:pPr>
      <w:r w:rsidRPr="008308F6">
        <w:rPr>
          <w:rFonts w:ascii="Calibri" w:eastAsia="Calibri" w:hAnsi="Calibri" w:cs="Calibri"/>
          <w:b/>
          <w:bCs/>
          <w:sz w:val="19"/>
          <w:szCs w:val="19"/>
          <w:lang w:val="fr-FR"/>
        </w:rPr>
        <w:t xml:space="preserve">ADEME — </w:t>
      </w:r>
      <w:r w:rsidRPr="008308F6">
        <w:rPr>
          <w:rFonts w:ascii="Calibri" w:eastAsia="Calibri" w:hAnsi="Calibri" w:cs="Calibri"/>
          <w:sz w:val="19"/>
          <w:szCs w:val="19"/>
          <w:lang w:val="fr-FR"/>
        </w:rPr>
        <w:t>Agence de la transition écologique.</w:t>
      </w:r>
    </w:p>
    <w:p w14:paraId="3CD63C50" w14:textId="77777777" w:rsidR="008E7E6D" w:rsidRPr="008308F6" w:rsidRDefault="00000000">
      <w:pPr>
        <w:spacing w:after="80"/>
        <w:rPr>
          <w:lang w:val="fr-FR"/>
        </w:rPr>
      </w:pPr>
      <w:r w:rsidRPr="008308F6">
        <w:rPr>
          <w:rFonts w:ascii="Calibri" w:eastAsia="Calibri" w:hAnsi="Calibri" w:cs="Calibri"/>
          <w:b/>
          <w:bCs/>
          <w:sz w:val="19"/>
          <w:szCs w:val="19"/>
          <w:lang w:val="fr-FR"/>
        </w:rPr>
        <w:t xml:space="preserve">AFPG — </w:t>
      </w:r>
      <w:r w:rsidRPr="008308F6">
        <w:rPr>
          <w:rFonts w:ascii="Calibri" w:eastAsia="Calibri" w:hAnsi="Calibri" w:cs="Calibri"/>
          <w:sz w:val="19"/>
          <w:szCs w:val="19"/>
          <w:lang w:val="fr-FR"/>
        </w:rPr>
        <w:t>Association Française des Professionnels de la Géothermie.</w:t>
      </w:r>
    </w:p>
    <w:p w14:paraId="01D49378" w14:textId="77777777" w:rsidR="008E7E6D" w:rsidRPr="008308F6" w:rsidRDefault="00000000">
      <w:pPr>
        <w:spacing w:after="80"/>
        <w:rPr>
          <w:lang w:val="fr-FR"/>
        </w:rPr>
      </w:pPr>
      <w:r w:rsidRPr="008308F6">
        <w:rPr>
          <w:rFonts w:ascii="Calibri" w:eastAsia="Calibri" w:hAnsi="Calibri" w:cs="Calibri"/>
          <w:b/>
          <w:bCs/>
          <w:sz w:val="19"/>
          <w:szCs w:val="19"/>
          <w:lang w:val="fr-FR"/>
        </w:rPr>
        <w:t xml:space="preserve">AMO — </w:t>
      </w:r>
      <w:r w:rsidRPr="008308F6">
        <w:rPr>
          <w:rFonts w:ascii="Calibri" w:eastAsia="Calibri" w:hAnsi="Calibri" w:cs="Calibri"/>
          <w:sz w:val="19"/>
          <w:szCs w:val="19"/>
          <w:lang w:val="fr-FR"/>
        </w:rPr>
        <w:t>Assistance à Maîtrise d'Ouvrage.</w:t>
      </w:r>
    </w:p>
    <w:p w14:paraId="532A243B" w14:textId="77777777" w:rsidR="008E7E6D" w:rsidRPr="008308F6" w:rsidRDefault="00000000">
      <w:pPr>
        <w:spacing w:after="80"/>
        <w:rPr>
          <w:lang w:val="fr-FR"/>
        </w:rPr>
      </w:pPr>
      <w:r w:rsidRPr="008308F6">
        <w:rPr>
          <w:rFonts w:ascii="Calibri" w:eastAsia="Calibri" w:hAnsi="Calibri" w:cs="Calibri"/>
          <w:b/>
          <w:bCs/>
          <w:sz w:val="19"/>
          <w:szCs w:val="19"/>
          <w:lang w:val="fr-FR"/>
        </w:rPr>
        <w:t xml:space="preserve">API — </w:t>
      </w:r>
      <w:r w:rsidRPr="008308F6">
        <w:rPr>
          <w:rFonts w:ascii="Calibri" w:eastAsia="Calibri" w:hAnsi="Calibri" w:cs="Calibri"/>
          <w:sz w:val="19"/>
          <w:szCs w:val="19"/>
          <w:lang w:val="fr-FR"/>
        </w:rPr>
        <w:t>American Petroleum Institute — référentiel de standards opérationnels du forage.</w:t>
      </w:r>
    </w:p>
    <w:p w14:paraId="12BCC9C6" w14:textId="77777777" w:rsidR="008E7E6D" w:rsidRPr="008308F6" w:rsidRDefault="00000000">
      <w:pPr>
        <w:spacing w:after="80"/>
        <w:rPr>
          <w:lang w:val="fr-FR"/>
        </w:rPr>
      </w:pPr>
      <w:r w:rsidRPr="008308F6">
        <w:rPr>
          <w:rFonts w:ascii="Calibri" w:eastAsia="Calibri" w:hAnsi="Calibri" w:cs="Calibri"/>
          <w:b/>
          <w:bCs/>
          <w:sz w:val="19"/>
          <w:szCs w:val="19"/>
          <w:lang w:val="fr-FR"/>
        </w:rPr>
        <w:t xml:space="preserve">ATES — </w:t>
      </w:r>
      <w:proofErr w:type="spellStart"/>
      <w:r w:rsidRPr="008308F6">
        <w:rPr>
          <w:rFonts w:ascii="Calibri" w:eastAsia="Calibri" w:hAnsi="Calibri" w:cs="Calibri"/>
          <w:sz w:val="19"/>
          <w:szCs w:val="19"/>
          <w:lang w:val="fr-FR"/>
        </w:rPr>
        <w:t>Aquifer</w:t>
      </w:r>
      <w:proofErr w:type="spellEnd"/>
      <w:r w:rsidRPr="008308F6">
        <w:rPr>
          <w:rFonts w:ascii="Calibri" w:eastAsia="Calibri" w:hAnsi="Calibri" w:cs="Calibri"/>
          <w:sz w:val="19"/>
          <w:szCs w:val="19"/>
          <w:lang w:val="fr-FR"/>
        </w:rPr>
        <w:t xml:space="preserve"> Thermal Energy Storage — stockage thermique en aquifère.</w:t>
      </w:r>
    </w:p>
    <w:p w14:paraId="6F956F58" w14:textId="77777777" w:rsidR="008E7E6D" w:rsidRPr="008308F6" w:rsidRDefault="00000000">
      <w:pPr>
        <w:spacing w:after="80"/>
        <w:rPr>
          <w:lang w:val="fr-FR"/>
        </w:rPr>
      </w:pPr>
      <w:r w:rsidRPr="008308F6">
        <w:rPr>
          <w:rFonts w:ascii="Calibri" w:eastAsia="Calibri" w:hAnsi="Calibri" w:cs="Calibri"/>
          <w:b/>
          <w:bCs/>
          <w:sz w:val="19"/>
          <w:szCs w:val="19"/>
          <w:lang w:val="fr-FR"/>
        </w:rPr>
        <w:t xml:space="preserve">BRGM — </w:t>
      </w:r>
      <w:r w:rsidRPr="008308F6">
        <w:rPr>
          <w:rFonts w:ascii="Calibri" w:eastAsia="Calibri" w:hAnsi="Calibri" w:cs="Calibri"/>
          <w:sz w:val="19"/>
          <w:szCs w:val="19"/>
          <w:lang w:val="fr-FR"/>
        </w:rPr>
        <w:t>Bureau de Recherches Géologiques et Minières.</w:t>
      </w:r>
    </w:p>
    <w:p w14:paraId="52DD6892" w14:textId="77777777" w:rsidR="008E7E6D" w:rsidRPr="008308F6" w:rsidRDefault="00000000">
      <w:pPr>
        <w:spacing w:after="80"/>
        <w:rPr>
          <w:lang w:val="fr-FR"/>
        </w:rPr>
      </w:pPr>
      <w:r w:rsidRPr="008308F6">
        <w:rPr>
          <w:rFonts w:ascii="Calibri" w:eastAsia="Calibri" w:hAnsi="Calibri" w:cs="Calibri"/>
          <w:b/>
          <w:bCs/>
          <w:sz w:val="19"/>
          <w:szCs w:val="19"/>
          <w:lang w:val="fr-FR"/>
        </w:rPr>
        <w:t xml:space="preserve">CDD — </w:t>
      </w:r>
      <w:r w:rsidRPr="008308F6">
        <w:rPr>
          <w:rFonts w:ascii="Calibri" w:eastAsia="Calibri" w:hAnsi="Calibri" w:cs="Calibri"/>
          <w:sz w:val="19"/>
          <w:szCs w:val="19"/>
          <w:lang w:val="fr-FR"/>
        </w:rPr>
        <w:t>Contrat à durée déterminée.</w:t>
      </w:r>
    </w:p>
    <w:p w14:paraId="13018E92" w14:textId="77777777" w:rsidR="008E7E6D" w:rsidRPr="008308F6" w:rsidRDefault="00000000">
      <w:pPr>
        <w:spacing w:after="80"/>
        <w:rPr>
          <w:lang w:val="fr-FR"/>
        </w:rPr>
      </w:pPr>
      <w:r w:rsidRPr="008308F6">
        <w:rPr>
          <w:rFonts w:ascii="Calibri" w:eastAsia="Calibri" w:hAnsi="Calibri" w:cs="Calibri"/>
          <w:b/>
          <w:bCs/>
          <w:sz w:val="19"/>
          <w:szCs w:val="19"/>
          <w:lang w:val="fr-FR"/>
        </w:rPr>
        <w:t xml:space="preserve">CEE — </w:t>
      </w:r>
      <w:r w:rsidRPr="008308F6">
        <w:rPr>
          <w:rFonts w:ascii="Calibri" w:eastAsia="Calibri" w:hAnsi="Calibri" w:cs="Calibri"/>
          <w:sz w:val="19"/>
          <w:szCs w:val="19"/>
          <w:lang w:val="fr-FR"/>
        </w:rPr>
        <w:t>Certificats d'Économies d'Énergie.</w:t>
      </w:r>
    </w:p>
    <w:p w14:paraId="3DC72F3C" w14:textId="77777777" w:rsidR="008E7E6D" w:rsidRPr="008308F6" w:rsidRDefault="00000000">
      <w:pPr>
        <w:spacing w:after="80"/>
        <w:rPr>
          <w:lang w:val="fr-FR"/>
        </w:rPr>
      </w:pPr>
      <w:r w:rsidRPr="008308F6">
        <w:rPr>
          <w:rFonts w:ascii="Calibri" w:eastAsia="Calibri" w:hAnsi="Calibri" w:cs="Calibri"/>
          <w:b/>
          <w:bCs/>
          <w:sz w:val="19"/>
          <w:szCs w:val="19"/>
          <w:lang w:val="fr-FR"/>
        </w:rPr>
        <w:t xml:space="preserve">COP — </w:t>
      </w:r>
      <w:r w:rsidRPr="008308F6">
        <w:rPr>
          <w:rFonts w:ascii="Calibri" w:eastAsia="Calibri" w:hAnsi="Calibri" w:cs="Calibri"/>
          <w:sz w:val="19"/>
          <w:szCs w:val="19"/>
          <w:lang w:val="fr-FR"/>
        </w:rPr>
        <w:t>Coefficient de performance.</w:t>
      </w:r>
    </w:p>
    <w:p w14:paraId="1D6BF37B" w14:textId="77777777" w:rsidR="008E7E6D" w:rsidRPr="008308F6" w:rsidRDefault="00000000">
      <w:pPr>
        <w:spacing w:after="80"/>
        <w:rPr>
          <w:lang w:val="fr-FR"/>
        </w:rPr>
      </w:pPr>
      <w:r w:rsidRPr="008308F6">
        <w:rPr>
          <w:rFonts w:ascii="Calibri" w:eastAsia="Calibri" w:hAnsi="Calibri" w:cs="Calibri"/>
          <w:b/>
          <w:bCs/>
          <w:sz w:val="19"/>
          <w:szCs w:val="19"/>
          <w:lang w:val="fr-FR"/>
        </w:rPr>
        <w:t xml:space="preserve">DGEC — </w:t>
      </w:r>
      <w:r w:rsidRPr="008308F6">
        <w:rPr>
          <w:rFonts w:ascii="Calibri" w:eastAsia="Calibri" w:hAnsi="Calibri" w:cs="Calibri"/>
          <w:sz w:val="19"/>
          <w:szCs w:val="19"/>
          <w:lang w:val="fr-FR"/>
        </w:rPr>
        <w:t>Direction Générale de l'Énergie et du Climat.</w:t>
      </w:r>
    </w:p>
    <w:p w14:paraId="516871A0" w14:textId="77777777" w:rsidR="008E7E6D" w:rsidRPr="008308F6" w:rsidRDefault="00000000">
      <w:pPr>
        <w:spacing w:after="80"/>
        <w:rPr>
          <w:lang w:val="fr-FR"/>
        </w:rPr>
      </w:pPr>
      <w:r w:rsidRPr="008308F6">
        <w:rPr>
          <w:rFonts w:ascii="Calibri" w:eastAsia="Calibri" w:hAnsi="Calibri" w:cs="Calibri"/>
          <w:b/>
          <w:bCs/>
          <w:sz w:val="19"/>
          <w:szCs w:val="19"/>
          <w:lang w:val="fr-FR"/>
        </w:rPr>
        <w:t xml:space="preserve">DREAL — </w:t>
      </w:r>
      <w:r w:rsidRPr="008308F6">
        <w:rPr>
          <w:rFonts w:ascii="Calibri" w:eastAsia="Calibri" w:hAnsi="Calibri" w:cs="Calibri"/>
          <w:sz w:val="19"/>
          <w:szCs w:val="19"/>
          <w:lang w:val="fr-FR"/>
        </w:rPr>
        <w:t>Direction régionale de l'environnement, de l'aménagement et du logement.</w:t>
      </w:r>
    </w:p>
    <w:p w14:paraId="2EDBECF4" w14:textId="77777777" w:rsidR="008E7E6D" w:rsidRPr="008308F6" w:rsidRDefault="00000000">
      <w:pPr>
        <w:spacing w:after="80"/>
        <w:rPr>
          <w:lang w:val="fr-FR"/>
        </w:rPr>
      </w:pPr>
      <w:r w:rsidRPr="008308F6">
        <w:rPr>
          <w:rFonts w:ascii="Calibri" w:eastAsia="Calibri" w:hAnsi="Calibri" w:cs="Calibri"/>
          <w:b/>
          <w:bCs/>
          <w:sz w:val="19"/>
          <w:szCs w:val="19"/>
          <w:lang w:val="fr-FR"/>
        </w:rPr>
        <w:t xml:space="preserve">DRIEAT — </w:t>
      </w:r>
      <w:r w:rsidRPr="008308F6">
        <w:rPr>
          <w:rFonts w:ascii="Calibri" w:eastAsia="Calibri" w:hAnsi="Calibri" w:cs="Calibri"/>
          <w:sz w:val="19"/>
          <w:szCs w:val="19"/>
          <w:lang w:val="fr-FR"/>
        </w:rPr>
        <w:t>Direction régionale et interdépartementale de l'environnement, de l'aménagement et des transports (Île-de-France).</w:t>
      </w:r>
    </w:p>
    <w:p w14:paraId="461E20B6" w14:textId="77777777" w:rsidR="008E7E6D" w:rsidRPr="008308F6" w:rsidRDefault="00000000">
      <w:pPr>
        <w:spacing w:after="80"/>
        <w:rPr>
          <w:lang w:val="fr-FR"/>
        </w:rPr>
      </w:pPr>
      <w:r w:rsidRPr="008308F6">
        <w:rPr>
          <w:rFonts w:ascii="Calibri" w:eastAsia="Calibri" w:hAnsi="Calibri" w:cs="Calibri"/>
          <w:b/>
          <w:bCs/>
          <w:sz w:val="19"/>
          <w:szCs w:val="19"/>
          <w:lang w:val="fr-FR"/>
        </w:rPr>
        <w:t xml:space="preserve">EECM — </w:t>
      </w:r>
      <w:r w:rsidRPr="008308F6">
        <w:rPr>
          <w:rFonts w:ascii="Calibri" w:eastAsia="Calibri" w:hAnsi="Calibri" w:cs="Calibri"/>
          <w:sz w:val="19"/>
          <w:szCs w:val="19"/>
          <w:lang w:val="fr-FR"/>
        </w:rPr>
        <w:t>Évaluation Énergétique des Consommations Municipales / Massification.</w:t>
      </w:r>
    </w:p>
    <w:p w14:paraId="0CD9B851" w14:textId="77777777" w:rsidR="008E7E6D" w:rsidRDefault="00000000">
      <w:pPr>
        <w:spacing w:after="80"/>
      </w:pPr>
      <w:r>
        <w:rPr>
          <w:rFonts w:ascii="Calibri" w:eastAsia="Calibri" w:hAnsi="Calibri" w:cs="Calibri"/>
          <w:b/>
          <w:bCs/>
          <w:sz w:val="19"/>
          <w:szCs w:val="19"/>
        </w:rPr>
        <w:t xml:space="preserve">EGEC — </w:t>
      </w:r>
      <w:r>
        <w:rPr>
          <w:rFonts w:ascii="Calibri" w:eastAsia="Calibri" w:hAnsi="Calibri" w:cs="Calibri"/>
          <w:sz w:val="19"/>
          <w:szCs w:val="19"/>
        </w:rPr>
        <w:t>European Geothermal Energy Council.</w:t>
      </w:r>
    </w:p>
    <w:p w14:paraId="1780B8DF" w14:textId="77777777" w:rsidR="008E7E6D" w:rsidRDefault="00000000">
      <w:pPr>
        <w:spacing w:after="80"/>
      </w:pPr>
      <w:r>
        <w:rPr>
          <w:rFonts w:ascii="Calibri" w:eastAsia="Calibri" w:hAnsi="Calibri" w:cs="Calibri"/>
          <w:b/>
          <w:bCs/>
          <w:sz w:val="19"/>
          <w:szCs w:val="19"/>
        </w:rPr>
        <w:t xml:space="preserve">EGS — </w:t>
      </w:r>
      <w:r>
        <w:rPr>
          <w:rFonts w:ascii="Calibri" w:eastAsia="Calibri" w:hAnsi="Calibri" w:cs="Calibri"/>
          <w:sz w:val="19"/>
          <w:szCs w:val="19"/>
        </w:rPr>
        <w:t xml:space="preserve">Enhanced Geothermal Systems — </w:t>
      </w:r>
      <w:proofErr w:type="spellStart"/>
      <w:r>
        <w:rPr>
          <w:rFonts w:ascii="Calibri" w:eastAsia="Calibri" w:hAnsi="Calibri" w:cs="Calibri"/>
          <w:sz w:val="19"/>
          <w:szCs w:val="19"/>
        </w:rPr>
        <w:t>géothermie</w:t>
      </w:r>
      <w:proofErr w:type="spellEnd"/>
      <w:r>
        <w:rPr>
          <w:rFonts w:ascii="Calibri" w:eastAsia="Calibri" w:hAnsi="Calibri" w:cs="Calibri"/>
          <w:sz w:val="19"/>
          <w:szCs w:val="19"/>
        </w:rPr>
        <w:t xml:space="preserve"> profonde </w:t>
      </w:r>
      <w:proofErr w:type="spellStart"/>
      <w:r>
        <w:rPr>
          <w:rFonts w:ascii="Calibri" w:eastAsia="Calibri" w:hAnsi="Calibri" w:cs="Calibri"/>
          <w:sz w:val="19"/>
          <w:szCs w:val="19"/>
        </w:rPr>
        <w:t>stimulée</w:t>
      </w:r>
      <w:proofErr w:type="spellEnd"/>
      <w:r>
        <w:rPr>
          <w:rFonts w:ascii="Calibri" w:eastAsia="Calibri" w:hAnsi="Calibri" w:cs="Calibri"/>
          <w:sz w:val="19"/>
          <w:szCs w:val="19"/>
        </w:rPr>
        <w:t>.</w:t>
      </w:r>
    </w:p>
    <w:p w14:paraId="4040F464" w14:textId="77777777" w:rsidR="008E7E6D" w:rsidRPr="008308F6" w:rsidRDefault="00000000">
      <w:pPr>
        <w:spacing w:after="80"/>
        <w:rPr>
          <w:lang w:val="fr-FR"/>
        </w:rPr>
      </w:pPr>
      <w:r w:rsidRPr="008308F6">
        <w:rPr>
          <w:rFonts w:ascii="Calibri" w:eastAsia="Calibri" w:hAnsi="Calibri" w:cs="Calibri"/>
          <w:b/>
          <w:bCs/>
          <w:sz w:val="19"/>
          <w:szCs w:val="19"/>
          <w:lang w:val="fr-FR"/>
        </w:rPr>
        <w:t xml:space="preserve">GMI — </w:t>
      </w:r>
      <w:r w:rsidRPr="008308F6">
        <w:rPr>
          <w:rFonts w:ascii="Calibri" w:eastAsia="Calibri" w:hAnsi="Calibri" w:cs="Calibri"/>
          <w:sz w:val="19"/>
          <w:szCs w:val="19"/>
          <w:lang w:val="fr-FR"/>
        </w:rPr>
        <w:t>Géothermie de minime importance.</w:t>
      </w:r>
    </w:p>
    <w:p w14:paraId="16EC6EB5" w14:textId="77777777" w:rsidR="008E7E6D" w:rsidRPr="008308F6" w:rsidRDefault="00000000">
      <w:pPr>
        <w:spacing w:after="80"/>
        <w:rPr>
          <w:lang w:val="fr-FR"/>
        </w:rPr>
      </w:pPr>
      <w:r w:rsidRPr="008308F6">
        <w:rPr>
          <w:rFonts w:ascii="Calibri" w:eastAsia="Calibri" w:hAnsi="Calibri" w:cs="Calibri"/>
          <w:b/>
          <w:bCs/>
          <w:sz w:val="19"/>
          <w:szCs w:val="19"/>
          <w:lang w:val="fr-FR"/>
        </w:rPr>
        <w:t xml:space="preserve">GRETA — </w:t>
      </w:r>
      <w:r w:rsidRPr="008308F6">
        <w:rPr>
          <w:rFonts w:ascii="Calibri" w:eastAsia="Calibri" w:hAnsi="Calibri" w:cs="Calibri"/>
          <w:sz w:val="19"/>
          <w:szCs w:val="19"/>
          <w:lang w:val="fr-FR"/>
        </w:rPr>
        <w:t>Groupement d'établissements pour la formation continue.</w:t>
      </w:r>
    </w:p>
    <w:p w14:paraId="075FC915" w14:textId="77777777" w:rsidR="008E7E6D" w:rsidRPr="008308F6" w:rsidRDefault="00000000">
      <w:pPr>
        <w:spacing w:after="80"/>
        <w:rPr>
          <w:lang w:val="fr-FR"/>
        </w:rPr>
      </w:pPr>
      <w:r w:rsidRPr="008308F6">
        <w:rPr>
          <w:rFonts w:ascii="Calibri" w:eastAsia="Calibri" w:hAnsi="Calibri" w:cs="Calibri"/>
          <w:b/>
          <w:bCs/>
          <w:sz w:val="19"/>
          <w:szCs w:val="19"/>
          <w:lang w:val="fr-FR"/>
        </w:rPr>
        <w:t xml:space="preserve">HTH — </w:t>
      </w:r>
      <w:r w:rsidRPr="008308F6">
        <w:rPr>
          <w:rFonts w:ascii="Calibri" w:eastAsia="Calibri" w:hAnsi="Calibri" w:cs="Calibri"/>
          <w:sz w:val="19"/>
          <w:szCs w:val="19"/>
          <w:lang w:val="fr-FR"/>
        </w:rPr>
        <w:t>Haute température.</w:t>
      </w:r>
    </w:p>
    <w:p w14:paraId="00B1EE5E" w14:textId="77777777" w:rsidR="008E7E6D" w:rsidRPr="008308F6" w:rsidRDefault="00000000">
      <w:pPr>
        <w:spacing w:after="80"/>
        <w:rPr>
          <w:lang w:val="fr-FR"/>
        </w:rPr>
      </w:pPr>
      <w:r w:rsidRPr="008308F6">
        <w:rPr>
          <w:rFonts w:ascii="Calibri" w:eastAsia="Calibri" w:hAnsi="Calibri" w:cs="Calibri"/>
          <w:b/>
          <w:bCs/>
          <w:sz w:val="19"/>
          <w:szCs w:val="19"/>
          <w:lang w:val="fr-FR"/>
        </w:rPr>
        <w:t xml:space="preserve">ISO — </w:t>
      </w:r>
      <w:r w:rsidRPr="008308F6">
        <w:rPr>
          <w:rFonts w:ascii="Calibri" w:eastAsia="Calibri" w:hAnsi="Calibri" w:cs="Calibri"/>
          <w:sz w:val="19"/>
          <w:szCs w:val="19"/>
          <w:lang w:val="fr-FR"/>
        </w:rPr>
        <w:t xml:space="preserve">International </w:t>
      </w:r>
      <w:proofErr w:type="spellStart"/>
      <w:r w:rsidRPr="008308F6">
        <w:rPr>
          <w:rFonts w:ascii="Calibri" w:eastAsia="Calibri" w:hAnsi="Calibri" w:cs="Calibri"/>
          <w:sz w:val="19"/>
          <w:szCs w:val="19"/>
          <w:lang w:val="fr-FR"/>
        </w:rPr>
        <w:t>Organization</w:t>
      </w:r>
      <w:proofErr w:type="spellEnd"/>
      <w:r w:rsidRPr="008308F6">
        <w:rPr>
          <w:rFonts w:ascii="Calibri" w:eastAsia="Calibri" w:hAnsi="Calibri" w:cs="Calibri"/>
          <w:sz w:val="19"/>
          <w:szCs w:val="19"/>
          <w:lang w:val="fr-FR"/>
        </w:rPr>
        <w:t xml:space="preserve"> for </w:t>
      </w:r>
      <w:proofErr w:type="spellStart"/>
      <w:r w:rsidRPr="008308F6">
        <w:rPr>
          <w:rFonts w:ascii="Calibri" w:eastAsia="Calibri" w:hAnsi="Calibri" w:cs="Calibri"/>
          <w:sz w:val="19"/>
          <w:szCs w:val="19"/>
          <w:lang w:val="fr-FR"/>
        </w:rPr>
        <w:t>Standardization</w:t>
      </w:r>
      <w:proofErr w:type="spellEnd"/>
      <w:r w:rsidRPr="008308F6">
        <w:rPr>
          <w:rFonts w:ascii="Calibri" w:eastAsia="Calibri" w:hAnsi="Calibri" w:cs="Calibri"/>
          <w:sz w:val="19"/>
          <w:szCs w:val="19"/>
          <w:lang w:val="fr-FR"/>
        </w:rPr>
        <w:t>.</w:t>
      </w:r>
    </w:p>
    <w:p w14:paraId="4512476B" w14:textId="77777777" w:rsidR="008E7E6D" w:rsidRPr="008308F6" w:rsidRDefault="00000000">
      <w:pPr>
        <w:spacing w:after="80"/>
        <w:rPr>
          <w:lang w:val="fr-FR"/>
        </w:rPr>
      </w:pPr>
      <w:r w:rsidRPr="008308F6">
        <w:rPr>
          <w:rFonts w:ascii="Calibri" w:eastAsia="Calibri" w:hAnsi="Calibri" w:cs="Calibri"/>
          <w:b/>
          <w:bCs/>
          <w:sz w:val="19"/>
          <w:szCs w:val="19"/>
          <w:lang w:val="fr-FR"/>
        </w:rPr>
        <w:t xml:space="preserve">JAZ — </w:t>
      </w:r>
      <w:proofErr w:type="spellStart"/>
      <w:r w:rsidRPr="008308F6">
        <w:rPr>
          <w:rFonts w:ascii="Calibri" w:eastAsia="Calibri" w:hAnsi="Calibri" w:cs="Calibri"/>
          <w:sz w:val="19"/>
          <w:szCs w:val="19"/>
          <w:lang w:val="fr-FR"/>
        </w:rPr>
        <w:t>Jahresarbeitszahl</w:t>
      </w:r>
      <w:proofErr w:type="spellEnd"/>
      <w:r w:rsidRPr="008308F6">
        <w:rPr>
          <w:rFonts w:ascii="Calibri" w:eastAsia="Calibri" w:hAnsi="Calibri" w:cs="Calibri"/>
          <w:sz w:val="19"/>
          <w:szCs w:val="19"/>
          <w:lang w:val="fr-FR"/>
        </w:rPr>
        <w:t xml:space="preserve"> — coefficient de performance annuel réel.</w:t>
      </w:r>
    </w:p>
    <w:p w14:paraId="694AA159" w14:textId="77777777" w:rsidR="008E7E6D" w:rsidRPr="008308F6" w:rsidRDefault="00000000">
      <w:pPr>
        <w:spacing w:after="80"/>
        <w:rPr>
          <w:lang w:val="fr-FR"/>
        </w:rPr>
      </w:pPr>
      <w:r w:rsidRPr="008308F6">
        <w:rPr>
          <w:rFonts w:ascii="Calibri" w:eastAsia="Calibri" w:hAnsi="Calibri" w:cs="Calibri"/>
          <w:b/>
          <w:bCs/>
          <w:sz w:val="19"/>
          <w:szCs w:val="19"/>
          <w:lang w:val="fr-FR"/>
        </w:rPr>
        <w:t xml:space="preserve">LCOE — </w:t>
      </w:r>
      <w:proofErr w:type="spellStart"/>
      <w:r w:rsidRPr="008308F6">
        <w:rPr>
          <w:rFonts w:ascii="Calibri" w:eastAsia="Calibri" w:hAnsi="Calibri" w:cs="Calibri"/>
          <w:sz w:val="19"/>
          <w:szCs w:val="19"/>
          <w:lang w:val="fr-FR"/>
        </w:rPr>
        <w:t>Levelized</w:t>
      </w:r>
      <w:proofErr w:type="spellEnd"/>
      <w:r w:rsidRPr="008308F6">
        <w:rPr>
          <w:rFonts w:ascii="Calibri" w:eastAsia="Calibri" w:hAnsi="Calibri" w:cs="Calibri"/>
          <w:sz w:val="19"/>
          <w:szCs w:val="19"/>
          <w:lang w:val="fr-FR"/>
        </w:rPr>
        <w:t xml:space="preserve"> Cost Of Energy — coût actualisé de l'énergie.</w:t>
      </w:r>
    </w:p>
    <w:p w14:paraId="6F1CB197" w14:textId="77777777" w:rsidR="008E7E6D" w:rsidRPr="008308F6" w:rsidRDefault="00000000">
      <w:pPr>
        <w:spacing w:after="80"/>
        <w:rPr>
          <w:lang w:val="fr-FR"/>
        </w:rPr>
      </w:pPr>
      <w:r w:rsidRPr="008308F6">
        <w:rPr>
          <w:rFonts w:ascii="Calibri" w:eastAsia="Calibri" w:hAnsi="Calibri" w:cs="Calibri"/>
          <w:b/>
          <w:bCs/>
          <w:sz w:val="19"/>
          <w:szCs w:val="19"/>
          <w:lang w:val="fr-FR"/>
        </w:rPr>
        <w:t xml:space="preserve">PAC — </w:t>
      </w:r>
      <w:r w:rsidRPr="008308F6">
        <w:rPr>
          <w:rFonts w:ascii="Calibri" w:eastAsia="Calibri" w:hAnsi="Calibri" w:cs="Calibri"/>
          <w:sz w:val="19"/>
          <w:szCs w:val="19"/>
          <w:lang w:val="fr-FR"/>
        </w:rPr>
        <w:t>Pompe à chaleur.</w:t>
      </w:r>
    </w:p>
    <w:p w14:paraId="3AD5DB07" w14:textId="77777777" w:rsidR="008E7E6D" w:rsidRPr="008308F6" w:rsidRDefault="00000000">
      <w:pPr>
        <w:spacing w:after="80"/>
        <w:rPr>
          <w:lang w:val="fr-FR"/>
        </w:rPr>
      </w:pPr>
      <w:r w:rsidRPr="008308F6">
        <w:rPr>
          <w:rFonts w:ascii="Calibri" w:eastAsia="Calibri" w:hAnsi="Calibri" w:cs="Calibri"/>
          <w:b/>
          <w:bCs/>
          <w:sz w:val="19"/>
          <w:szCs w:val="19"/>
          <w:lang w:val="fr-FR"/>
        </w:rPr>
        <w:t xml:space="preserve">PDO — </w:t>
      </w:r>
      <w:r w:rsidRPr="008308F6">
        <w:rPr>
          <w:rFonts w:ascii="Calibri" w:eastAsia="Calibri" w:hAnsi="Calibri" w:cs="Calibri"/>
          <w:sz w:val="19"/>
          <w:szCs w:val="19"/>
          <w:lang w:val="fr-FR"/>
        </w:rPr>
        <w:t xml:space="preserve">Petroleum </w:t>
      </w:r>
      <w:proofErr w:type="spellStart"/>
      <w:r w:rsidRPr="008308F6">
        <w:rPr>
          <w:rFonts w:ascii="Calibri" w:eastAsia="Calibri" w:hAnsi="Calibri" w:cs="Calibri"/>
          <w:sz w:val="19"/>
          <w:szCs w:val="19"/>
          <w:lang w:val="fr-FR"/>
        </w:rPr>
        <w:t>Development</w:t>
      </w:r>
      <w:proofErr w:type="spellEnd"/>
      <w:r w:rsidRPr="008308F6">
        <w:rPr>
          <w:rFonts w:ascii="Calibri" w:eastAsia="Calibri" w:hAnsi="Calibri" w:cs="Calibri"/>
          <w:sz w:val="19"/>
          <w:szCs w:val="19"/>
          <w:lang w:val="fr-FR"/>
        </w:rPr>
        <w:t xml:space="preserve"> Oman.</w:t>
      </w:r>
    </w:p>
    <w:p w14:paraId="3940680C" w14:textId="77777777" w:rsidR="008E7E6D" w:rsidRPr="008308F6" w:rsidRDefault="00000000">
      <w:pPr>
        <w:spacing w:after="80"/>
        <w:rPr>
          <w:lang w:val="fr-FR"/>
        </w:rPr>
      </w:pPr>
      <w:r w:rsidRPr="008308F6">
        <w:rPr>
          <w:rFonts w:ascii="Calibri" w:eastAsia="Calibri" w:hAnsi="Calibri" w:cs="Calibri"/>
          <w:b/>
          <w:bCs/>
          <w:sz w:val="19"/>
          <w:szCs w:val="19"/>
          <w:lang w:val="fr-FR"/>
        </w:rPr>
        <w:lastRenderedPageBreak/>
        <w:t xml:space="preserve">PPE3 — </w:t>
      </w:r>
      <w:r w:rsidRPr="008308F6">
        <w:rPr>
          <w:rFonts w:ascii="Calibri" w:eastAsia="Calibri" w:hAnsi="Calibri" w:cs="Calibri"/>
          <w:sz w:val="19"/>
          <w:szCs w:val="19"/>
          <w:lang w:val="fr-FR"/>
        </w:rPr>
        <w:t>Programmation Pluriannuelle de l'Énergie (3</w:t>
      </w:r>
      <w:r>
        <w:rPr>
          <w:rFonts w:ascii="Calibri" w:eastAsia="Calibri" w:hAnsi="Calibri" w:cs="Calibri"/>
          <w:sz w:val="19"/>
          <w:szCs w:val="19"/>
        </w:rPr>
        <w:t>ᵉ</w:t>
      </w:r>
      <w:r w:rsidRPr="008308F6">
        <w:rPr>
          <w:rFonts w:ascii="Calibri" w:eastAsia="Calibri" w:hAnsi="Calibri" w:cs="Calibri"/>
          <w:sz w:val="19"/>
          <w:szCs w:val="19"/>
          <w:lang w:val="fr-FR"/>
        </w:rPr>
        <w:t xml:space="preserve"> édition).</w:t>
      </w:r>
    </w:p>
    <w:p w14:paraId="76E4594A" w14:textId="77777777" w:rsidR="008E7E6D" w:rsidRPr="008308F6" w:rsidRDefault="00000000">
      <w:pPr>
        <w:spacing w:after="80"/>
        <w:rPr>
          <w:lang w:val="fr-FR"/>
        </w:rPr>
      </w:pPr>
      <w:r w:rsidRPr="008308F6">
        <w:rPr>
          <w:rFonts w:ascii="Calibri" w:eastAsia="Calibri" w:hAnsi="Calibri" w:cs="Calibri"/>
          <w:b/>
          <w:bCs/>
          <w:sz w:val="19"/>
          <w:szCs w:val="19"/>
          <w:lang w:val="fr-FR"/>
        </w:rPr>
        <w:t xml:space="preserve">RCU — </w:t>
      </w:r>
      <w:r w:rsidRPr="008308F6">
        <w:rPr>
          <w:rFonts w:ascii="Calibri" w:eastAsia="Calibri" w:hAnsi="Calibri" w:cs="Calibri"/>
          <w:sz w:val="19"/>
          <w:szCs w:val="19"/>
          <w:lang w:val="fr-FR"/>
        </w:rPr>
        <w:t>Réseau de chaleur urbain.</w:t>
      </w:r>
    </w:p>
    <w:p w14:paraId="31427048" w14:textId="77777777" w:rsidR="008E7E6D" w:rsidRPr="008308F6" w:rsidRDefault="00000000">
      <w:pPr>
        <w:spacing w:after="80"/>
        <w:rPr>
          <w:lang w:val="fr-FR"/>
        </w:rPr>
      </w:pPr>
      <w:r w:rsidRPr="008308F6">
        <w:rPr>
          <w:rFonts w:ascii="Calibri" w:eastAsia="Calibri" w:hAnsi="Calibri" w:cs="Calibri"/>
          <w:b/>
          <w:bCs/>
          <w:sz w:val="19"/>
          <w:szCs w:val="19"/>
          <w:lang w:val="fr-FR"/>
        </w:rPr>
        <w:t xml:space="preserve">ROI — </w:t>
      </w:r>
      <w:r w:rsidRPr="008308F6">
        <w:rPr>
          <w:rFonts w:ascii="Calibri" w:eastAsia="Calibri" w:hAnsi="Calibri" w:cs="Calibri"/>
          <w:sz w:val="19"/>
          <w:szCs w:val="19"/>
          <w:lang w:val="fr-FR"/>
        </w:rPr>
        <w:t>Return On Investment — retour sur investissement.</w:t>
      </w:r>
    </w:p>
    <w:p w14:paraId="5CDA527F" w14:textId="77777777" w:rsidR="008E7E6D" w:rsidRPr="008308F6" w:rsidRDefault="00000000">
      <w:pPr>
        <w:spacing w:after="80"/>
        <w:rPr>
          <w:lang w:val="fr-FR"/>
        </w:rPr>
      </w:pPr>
      <w:r w:rsidRPr="008308F6">
        <w:rPr>
          <w:rFonts w:ascii="Calibri" w:eastAsia="Calibri" w:hAnsi="Calibri" w:cs="Calibri"/>
          <w:b/>
          <w:bCs/>
          <w:sz w:val="19"/>
          <w:szCs w:val="19"/>
          <w:lang w:val="fr-FR"/>
        </w:rPr>
        <w:t xml:space="preserve">SLB — </w:t>
      </w:r>
      <w:r w:rsidRPr="008308F6">
        <w:rPr>
          <w:rFonts w:ascii="Calibri" w:eastAsia="Calibri" w:hAnsi="Calibri" w:cs="Calibri"/>
          <w:sz w:val="19"/>
          <w:szCs w:val="19"/>
          <w:lang w:val="fr-FR"/>
        </w:rPr>
        <w:t>Schlumberger.</w:t>
      </w:r>
    </w:p>
    <w:p w14:paraId="3E9BB1E5" w14:textId="77777777" w:rsidR="008E7E6D" w:rsidRPr="008308F6" w:rsidRDefault="00000000">
      <w:pPr>
        <w:spacing w:after="80"/>
        <w:rPr>
          <w:lang w:val="fr-FR"/>
        </w:rPr>
      </w:pPr>
      <w:r w:rsidRPr="008308F6">
        <w:rPr>
          <w:rFonts w:ascii="Calibri" w:eastAsia="Calibri" w:hAnsi="Calibri" w:cs="Calibri"/>
          <w:b/>
          <w:bCs/>
          <w:sz w:val="19"/>
          <w:szCs w:val="19"/>
          <w:lang w:val="fr-FR"/>
        </w:rPr>
        <w:t xml:space="preserve">SOP — </w:t>
      </w:r>
      <w:r w:rsidRPr="008308F6">
        <w:rPr>
          <w:rFonts w:ascii="Calibri" w:eastAsia="Calibri" w:hAnsi="Calibri" w:cs="Calibri"/>
          <w:sz w:val="19"/>
          <w:szCs w:val="19"/>
          <w:lang w:val="fr-FR"/>
        </w:rPr>
        <w:t xml:space="preserve">Standard Operating </w:t>
      </w:r>
      <w:proofErr w:type="spellStart"/>
      <w:r w:rsidRPr="008308F6">
        <w:rPr>
          <w:rFonts w:ascii="Calibri" w:eastAsia="Calibri" w:hAnsi="Calibri" w:cs="Calibri"/>
          <w:sz w:val="19"/>
          <w:szCs w:val="19"/>
          <w:lang w:val="fr-FR"/>
        </w:rPr>
        <w:t>Procedure</w:t>
      </w:r>
      <w:proofErr w:type="spellEnd"/>
      <w:r w:rsidRPr="008308F6">
        <w:rPr>
          <w:rFonts w:ascii="Calibri" w:eastAsia="Calibri" w:hAnsi="Calibri" w:cs="Calibri"/>
          <w:sz w:val="19"/>
          <w:szCs w:val="19"/>
          <w:lang w:val="fr-FR"/>
        </w:rPr>
        <w:t xml:space="preserve"> — procédure opérationnelle standard.</w:t>
      </w:r>
    </w:p>
    <w:p w14:paraId="76047D46" w14:textId="77777777" w:rsidR="008E7E6D" w:rsidRPr="008308F6" w:rsidRDefault="00000000">
      <w:pPr>
        <w:spacing w:after="80"/>
        <w:rPr>
          <w:lang w:val="fr-FR"/>
        </w:rPr>
      </w:pPr>
      <w:r w:rsidRPr="008308F6">
        <w:rPr>
          <w:rFonts w:ascii="Calibri" w:eastAsia="Calibri" w:hAnsi="Calibri" w:cs="Calibri"/>
          <w:b/>
          <w:bCs/>
          <w:sz w:val="19"/>
          <w:szCs w:val="19"/>
          <w:lang w:val="fr-FR"/>
        </w:rPr>
        <w:t xml:space="preserve">TRT — </w:t>
      </w:r>
      <w:r w:rsidRPr="008308F6">
        <w:rPr>
          <w:rFonts w:ascii="Calibri" w:eastAsia="Calibri" w:hAnsi="Calibri" w:cs="Calibri"/>
          <w:sz w:val="19"/>
          <w:szCs w:val="19"/>
          <w:lang w:val="fr-FR"/>
        </w:rPr>
        <w:t xml:space="preserve">Thermal </w:t>
      </w:r>
      <w:proofErr w:type="spellStart"/>
      <w:r w:rsidRPr="008308F6">
        <w:rPr>
          <w:rFonts w:ascii="Calibri" w:eastAsia="Calibri" w:hAnsi="Calibri" w:cs="Calibri"/>
          <w:sz w:val="19"/>
          <w:szCs w:val="19"/>
          <w:lang w:val="fr-FR"/>
        </w:rPr>
        <w:t>Response</w:t>
      </w:r>
      <w:proofErr w:type="spellEnd"/>
      <w:r w:rsidRPr="008308F6">
        <w:rPr>
          <w:rFonts w:ascii="Calibri" w:eastAsia="Calibri" w:hAnsi="Calibri" w:cs="Calibri"/>
          <w:sz w:val="19"/>
          <w:szCs w:val="19"/>
          <w:lang w:val="fr-FR"/>
        </w:rPr>
        <w:t xml:space="preserve"> Test — test de réponse thermique.</w:t>
      </w:r>
    </w:p>
    <w:p w14:paraId="2546D387" w14:textId="77777777" w:rsidR="008E7E6D" w:rsidRPr="008308F6" w:rsidRDefault="00000000">
      <w:pPr>
        <w:spacing w:after="80"/>
        <w:rPr>
          <w:lang w:val="fr-FR"/>
        </w:rPr>
      </w:pPr>
      <w:r w:rsidRPr="008308F6">
        <w:rPr>
          <w:rFonts w:ascii="Calibri" w:eastAsia="Calibri" w:hAnsi="Calibri" w:cs="Calibri"/>
          <w:b/>
          <w:bCs/>
          <w:sz w:val="19"/>
          <w:szCs w:val="19"/>
          <w:lang w:val="fr-FR"/>
        </w:rPr>
        <w:t xml:space="preserve">TTF — </w:t>
      </w:r>
      <w:r w:rsidRPr="008308F6">
        <w:rPr>
          <w:rFonts w:ascii="Calibri" w:eastAsia="Calibri" w:hAnsi="Calibri" w:cs="Calibri"/>
          <w:sz w:val="19"/>
          <w:szCs w:val="19"/>
          <w:lang w:val="fr-FR"/>
        </w:rPr>
        <w:t>Title Transfer Facility — indice de référence gazier.</w:t>
      </w:r>
    </w:p>
    <w:p w14:paraId="292DA781" w14:textId="77777777" w:rsidR="008E7E6D" w:rsidRPr="008308F6" w:rsidRDefault="00000000">
      <w:pPr>
        <w:spacing w:after="80"/>
        <w:rPr>
          <w:lang w:val="fr-FR"/>
        </w:rPr>
      </w:pPr>
      <w:r w:rsidRPr="008308F6">
        <w:rPr>
          <w:rFonts w:ascii="Calibri" w:eastAsia="Calibri" w:hAnsi="Calibri" w:cs="Calibri"/>
          <w:b/>
          <w:bCs/>
          <w:sz w:val="19"/>
          <w:szCs w:val="19"/>
          <w:lang w:val="fr-FR"/>
        </w:rPr>
        <w:t xml:space="preserve">VAN — </w:t>
      </w:r>
      <w:r w:rsidRPr="008308F6">
        <w:rPr>
          <w:rFonts w:ascii="Calibri" w:eastAsia="Calibri" w:hAnsi="Calibri" w:cs="Calibri"/>
          <w:sz w:val="19"/>
          <w:szCs w:val="19"/>
          <w:lang w:val="fr-FR"/>
        </w:rPr>
        <w:t>Valeur Actuelle Nette.</w:t>
      </w:r>
    </w:p>
    <w:p w14:paraId="577FC1F3" w14:textId="77777777" w:rsidR="008E7E6D" w:rsidRPr="008308F6" w:rsidRDefault="00000000">
      <w:pPr>
        <w:spacing w:after="80"/>
        <w:rPr>
          <w:lang w:val="fr-FR"/>
        </w:rPr>
      </w:pPr>
      <w:r w:rsidRPr="008308F6">
        <w:rPr>
          <w:rFonts w:ascii="Calibri" w:eastAsia="Calibri" w:hAnsi="Calibri" w:cs="Calibri"/>
          <w:b/>
          <w:bCs/>
          <w:sz w:val="19"/>
          <w:szCs w:val="19"/>
          <w:lang w:val="fr-FR"/>
        </w:rPr>
        <w:t xml:space="preserve">WACC — </w:t>
      </w:r>
      <w:proofErr w:type="spellStart"/>
      <w:r w:rsidRPr="008308F6">
        <w:rPr>
          <w:rFonts w:ascii="Calibri" w:eastAsia="Calibri" w:hAnsi="Calibri" w:cs="Calibri"/>
          <w:sz w:val="19"/>
          <w:szCs w:val="19"/>
          <w:lang w:val="fr-FR"/>
        </w:rPr>
        <w:t>Weighted</w:t>
      </w:r>
      <w:proofErr w:type="spellEnd"/>
      <w:r w:rsidRPr="008308F6">
        <w:rPr>
          <w:rFonts w:ascii="Calibri" w:eastAsia="Calibri" w:hAnsi="Calibri" w:cs="Calibri"/>
          <w:sz w:val="19"/>
          <w:szCs w:val="19"/>
          <w:lang w:val="fr-FR"/>
        </w:rPr>
        <w:t xml:space="preserve"> </w:t>
      </w:r>
      <w:proofErr w:type="spellStart"/>
      <w:r w:rsidRPr="008308F6">
        <w:rPr>
          <w:rFonts w:ascii="Calibri" w:eastAsia="Calibri" w:hAnsi="Calibri" w:cs="Calibri"/>
          <w:sz w:val="19"/>
          <w:szCs w:val="19"/>
          <w:lang w:val="fr-FR"/>
        </w:rPr>
        <w:t>Average</w:t>
      </w:r>
      <w:proofErr w:type="spellEnd"/>
      <w:r w:rsidRPr="008308F6">
        <w:rPr>
          <w:rFonts w:ascii="Calibri" w:eastAsia="Calibri" w:hAnsi="Calibri" w:cs="Calibri"/>
          <w:sz w:val="19"/>
          <w:szCs w:val="19"/>
          <w:lang w:val="fr-FR"/>
        </w:rPr>
        <w:t xml:space="preserve"> Cost of Capital — coût moyen pondéré du capital.</w:t>
      </w:r>
    </w:p>
    <w:p w14:paraId="5B40690F" w14:textId="77777777" w:rsidR="008E7E6D" w:rsidRPr="008308F6" w:rsidRDefault="008E7E6D">
      <w:pPr>
        <w:rPr>
          <w:lang w:val="fr-FR"/>
        </w:rPr>
        <w:sectPr w:rsidR="008E7E6D" w:rsidRPr="008308F6">
          <w:headerReference w:type="default" r:id="rId9"/>
          <w:footerReference w:type="default" r:id="rId10"/>
          <w:pgSz w:w="11906" w:h="16838"/>
          <w:pgMar w:top="1134" w:right="1134" w:bottom="1134" w:left="1134" w:header="708" w:footer="708" w:gutter="0"/>
          <w:cols w:space="720"/>
          <w:docGrid w:linePitch="360"/>
        </w:sectPr>
      </w:pPr>
    </w:p>
    <w:p w14:paraId="510B3FDC" w14:textId="77777777" w:rsidR="008E7E6D" w:rsidRPr="008308F6" w:rsidRDefault="00000000">
      <w:pPr>
        <w:pStyle w:val="Heading1"/>
        <w:pBdr>
          <w:bottom w:val="single" w:sz="6" w:space="4" w:color="1B3A54"/>
        </w:pBdr>
        <w:spacing w:before="420" w:after="260"/>
        <w:rPr>
          <w:lang w:val="fr-FR"/>
        </w:rPr>
      </w:pPr>
      <w:bookmarkStart w:id="13" w:name="_Toc240015691"/>
      <w:r w:rsidRPr="008308F6">
        <w:rPr>
          <w:rFonts w:ascii="Calibri" w:eastAsia="Calibri" w:hAnsi="Calibri" w:cs="Calibri"/>
          <w:b/>
          <w:bCs/>
          <w:color w:val="1B3A54"/>
          <w:sz w:val="30"/>
          <w:szCs w:val="30"/>
          <w:lang w:val="fr-FR"/>
        </w:rPr>
        <w:lastRenderedPageBreak/>
        <w:t>Index</w:t>
      </w:r>
      <w:bookmarkEnd w:id="13"/>
    </w:p>
    <w:p w14:paraId="7EDCDA32" w14:textId="49AF4FD4" w:rsidR="008308F6" w:rsidRDefault="008308F6">
      <w:pPr>
        <w:pStyle w:val="TOC1"/>
        <w:tabs>
          <w:tab w:val="right" w:leader="dot" w:pos="9628"/>
        </w:tabs>
        <w:rPr>
          <w:noProof/>
        </w:rPr>
      </w:pPr>
      <w:r>
        <w:rPr>
          <w:rFonts w:ascii="Calibri" w:eastAsia="Calibri" w:hAnsi="Calibri" w:cs="Calibri"/>
          <w:lang w:val="fr-FR"/>
        </w:rPr>
        <w:fldChar w:fldCharType="begin"/>
      </w:r>
      <w:r>
        <w:rPr>
          <w:rFonts w:ascii="Calibri" w:eastAsia="Calibri" w:hAnsi="Calibri" w:cs="Calibri"/>
          <w:lang w:val="fr-FR"/>
        </w:rPr>
        <w:instrText xml:space="preserve"> TOC \o "1-3" \h \z \u </w:instrText>
      </w:r>
      <w:r>
        <w:rPr>
          <w:rFonts w:ascii="Calibri" w:eastAsia="Calibri" w:hAnsi="Calibri" w:cs="Calibri"/>
          <w:lang w:val="fr-FR"/>
        </w:rPr>
        <w:fldChar w:fldCharType="separate"/>
      </w:r>
      <w:hyperlink w:anchor="_Toc240015678" w:history="1">
        <w:r w:rsidRPr="004D1DF0">
          <w:rPr>
            <w:rStyle w:val="Hyperlink"/>
            <w:rFonts w:ascii="Calibri" w:eastAsia="Calibri" w:hAnsi="Calibri" w:cs="Calibri"/>
            <w:b/>
            <w:bCs/>
            <w:noProof/>
            <w:lang w:val="fr-FR"/>
          </w:rPr>
          <w:t>1.  Thèse en une page</w:t>
        </w:r>
        <w:r>
          <w:rPr>
            <w:noProof/>
            <w:webHidden/>
          </w:rPr>
          <w:tab/>
        </w:r>
        <w:r>
          <w:rPr>
            <w:noProof/>
            <w:webHidden/>
          </w:rPr>
          <w:fldChar w:fldCharType="begin"/>
        </w:r>
        <w:r>
          <w:rPr>
            <w:noProof/>
            <w:webHidden/>
          </w:rPr>
          <w:instrText xml:space="preserve"> PAGEREF _Toc240015678 \h </w:instrText>
        </w:r>
        <w:r>
          <w:rPr>
            <w:noProof/>
            <w:webHidden/>
          </w:rPr>
        </w:r>
        <w:r>
          <w:rPr>
            <w:noProof/>
            <w:webHidden/>
          </w:rPr>
          <w:fldChar w:fldCharType="separate"/>
        </w:r>
        <w:r>
          <w:rPr>
            <w:noProof/>
            <w:webHidden/>
          </w:rPr>
          <w:t>3</w:t>
        </w:r>
        <w:r>
          <w:rPr>
            <w:noProof/>
            <w:webHidden/>
          </w:rPr>
          <w:fldChar w:fldCharType="end"/>
        </w:r>
      </w:hyperlink>
    </w:p>
    <w:p w14:paraId="79ABA905" w14:textId="5597F028" w:rsidR="008308F6" w:rsidRDefault="008308F6">
      <w:pPr>
        <w:pStyle w:val="TOC1"/>
        <w:tabs>
          <w:tab w:val="right" w:leader="dot" w:pos="9628"/>
        </w:tabs>
        <w:rPr>
          <w:noProof/>
        </w:rPr>
      </w:pPr>
      <w:hyperlink w:anchor="_Toc240015679" w:history="1">
        <w:r w:rsidRPr="004D1DF0">
          <w:rPr>
            <w:rStyle w:val="Hyperlink"/>
            <w:rFonts w:ascii="Calibri" w:eastAsia="Calibri" w:hAnsi="Calibri" w:cs="Calibri"/>
            <w:b/>
            <w:bCs/>
            <w:noProof/>
            <w:lang w:val="fr-FR"/>
          </w:rPr>
          <w:t>2.  Leçon Celsius Energy — faits à reprendre</w:t>
        </w:r>
        <w:r>
          <w:rPr>
            <w:noProof/>
            <w:webHidden/>
          </w:rPr>
          <w:tab/>
        </w:r>
        <w:r>
          <w:rPr>
            <w:noProof/>
            <w:webHidden/>
          </w:rPr>
          <w:fldChar w:fldCharType="begin"/>
        </w:r>
        <w:r>
          <w:rPr>
            <w:noProof/>
            <w:webHidden/>
          </w:rPr>
          <w:instrText xml:space="preserve"> PAGEREF _Toc240015679 \h </w:instrText>
        </w:r>
        <w:r>
          <w:rPr>
            <w:noProof/>
            <w:webHidden/>
          </w:rPr>
        </w:r>
        <w:r>
          <w:rPr>
            <w:noProof/>
            <w:webHidden/>
          </w:rPr>
          <w:fldChar w:fldCharType="separate"/>
        </w:r>
        <w:r>
          <w:rPr>
            <w:noProof/>
            <w:webHidden/>
          </w:rPr>
          <w:t>3</w:t>
        </w:r>
        <w:r>
          <w:rPr>
            <w:noProof/>
            <w:webHidden/>
          </w:rPr>
          <w:fldChar w:fldCharType="end"/>
        </w:r>
      </w:hyperlink>
    </w:p>
    <w:p w14:paraId="49802492" w14:textId="2F7E9F2A" w:rsidR="008308F6" w:rsidRDefault="008308F6">
      <w:pPr>
        <w:pStyle w:val="TOC1"/>
        <w:tabs>
          <w:tab w:val="right" w:leader="dot" w:pos="9628"/>
        </w:tabs>
        <w:rPr>
          <w:noProof/>
        </w:rPr>
      </w:pPr>
      <w:hyperlink w:anchor="_Toc240015680" w:history="1">
        <w:r w:rsidRPr="004D1DF0">
          <w:rPr>
            <w:rStyle w:val="Hyperlink"/>
            <w:rFonts w:ascii="Calibri" w:eastAsia="Calibri" w:hAnsi="Calibri" w:cs="Calibri"/>
            <w:b/>
            <w:bCs/>
            <w:noProof/>
            <w:lang w:val="fr-FR"/>
          </w:rPr>
          <w:t>3.  Économie générale de la géothermie</w:t>
        </w:r>
        <w:r>
          <w:rPr>
            <w:noProof/>
            <w:webHidden/>
          </w:rPr>
          <w:tab/>
        </w:r>
        <w:r>
          <w:rPr>
            <w:noProof/>
            <w:webHidden/>
          </w:rPr>
          <w:fldChar w:fldCharType="begin"/>
        </w:r>
        <w:r>
          <w:rPr>
            <w:noProof/>
            <w:webHidden/>
          </w:rPr>
          <w:instrText xml:space="preserve"> PAGEREF _Toc240015680 \h </w:instrText>
        </w:r>
        <w:r>
          <w:rPr>
            <w:noProof/>
            <w:webHidden/>
          </w:rPr>
        </w:r>
        <w:r>
          <w:rPr>
            <w:noProof/>
            <w:webHidden/>
          </w:rPr>
          <w:fldChar w:fldCharType="separate"/>
        </w:r>
        <w:r>
          <w:rPr>
            <w:noProof/>
            <w:webHidden/>
          </w:rPr>
          <w:t>5</w:t>
        </w:r>
        <w:r>
          <w:rPr>
            <w:noProof/>
            <w:webHidden/>
          </w:rPr>
          <w:fldChar w:fldCharType="end"/>
        </w:r>
      </w:hyperlink>
    </w:p>
    <w:p w14:paraId="5407C357" w14:textId="2E8D618D" w:rsidR="008308F6" w:rsidRDefault="008308F6">
      <w:pPr>
        <w:pStyle w:val="TOC1"/>
        <w:tabs>
          <w:tab w:val="right" w:leader="dot" w:pos="9628"/>
        </w:tabs>
        <w:rPr>
          <w:noProof/>
        </w:rPr>
      </w:pPr>
      <w:hyperlink w:anchor="_Toc240015681" w:history="1">
        <w:r w:rsidRPr="004D1DF0">
          <w:rPr>
            <w:rStyle w:val="Hyperlink"/>
            <w:rFonts w:ascii="Calibri" w:eastAsia="Calibri" w:hAnsi="Calibri" w:cs="Calibri"/>
            <w:b/>
            <w:bCs/>
            <w:noProof/>
            <w:lang w:val="fr-FR"/>
          </w:rPr>
          <w:t>4.  Recapitualtif de géoénergie</w:t>
        </w:r>
        <w:r>
          <w:rPr>
            <w:noProof/>
            <w:webHidden/>
          </w:rPr>
          <w:tab/>
        </w:r>
        <w:r>
          <w:rPr>
            <w:noProof/>
            <w:webHidden/>
          </w:rPr>
          <w:fldChar w:fldCharType="begin"/>
        </w:r>
        <w:r>
          <w:rPr>
            <w:noProof/>
            <w:webHidden/>
          </w:rPr>
          <w:instrText xml:space="preserve"> PAGEREF _Toc240015681 \h </w:instrText>
        </w:r>
        <w:r>
          <w:rPr>
            <w:noProof/>
            <w:webHidden/>
          </w:rPr>
        </w:r>
        <w:r>
          <w:rPr>
            <w:noProof/>
            <w:webHidden/>
          </w:rPr>
          <w:fldChar w:fldCharType="separate"/>
        </w:r>
        <w:r>
          <w:rPr>
            <w:noProof/>
            <w:webHidden/>
          </w:rPr>
          <w:t>6</w:t>
        </w:r>
        <w:r>
          <w:rPr>
            <w:noProof/>
            <w:webHidden/>
          </w:rPr>
          <w:fldChar w:fldCharType="end"/>
        </w:r>
      </w:hyperlink>
    </w:p>
    <w:p w14:paraId="48DDB353" w14:textId="4A36FE4D" w:rsidR="008308F6" w:rsidRDefault="008308F6">
      <w:pPr>
        <w:pStyle w:val="TOC1"/>
        <w:tabs>
          <w:tab w:val="right" w:leader="dot" w:pos="9628"/>
        </w:tabs>
        <w:rPr>
          <w:noProof/>
        </w:rPr>
      </w:pPr>
      <w:hyperlink w:anchor="_Toc240015682" w:history="1">
        <w:r w:rsidRPr="004D1DF0">
          <w:rPr>
            <w:rStyle w:val="Hyperlink"/>
            <w:rFonts w:ascii="Calibri" w:eastAsia="Calibri" w:hAnsi="Calibri" w:cs="Calibri"/>
            <w:b/>
            <w:bCs/>
            <w:noProof/>
            <w:lang w:val="fr-FR"/>
          </w:rPr>
          <w:t>5.  Projet Adaptation — de la cadence théorique à la cadence instruisable</w:t>
        </w:r>
        <w:r>
          <w:rPr>
            <w:noProof/>
            <w:webHidden/>
          </w:rPr>
          <w:tab/>
        </w:r>
        <w:r>
          <w:rPr>
            <w:noProof/>
            <w:webHidden/>
          </w:rPr>
          <w:fldChar w:fldCharType="begin"/>
        </w:r>
        <w:r>
          <w:rPr>
            <w:noProof/>
            <w:webHidden/>
          </w:rPr>
          <w:instrText xml:space="preserve"> PAGEREF _Toc240015682 \h </w:instrText>
        </w:r>
        <w:r>
          <w:rPr>
            <w:noProof/>
            <w:webHidden/>
          </w:rPr>
        </w:r>
        <w:r>
          <w:rPr>
            <w:noProof/>
            <w:webHidden/>
          </w:rPr>
          <w:fldChar w:fldCharType="separate"/>
        </w:r>
        <w:r>
          <w:rPr>
            <w:noProof/>
            <w:webHidden/>
          </w:rPr>
          <w:t>7</w:t>
        </w:r>
        <w:r>
          <w:rPr>
            <w:noProof/>
            <w:webHidden/>
          </w:rPr>
          <w:fldChar w:fldCharType="end"/>
        </w:r>
      </w:hyperlink>
    </w:p>
    <w:p w14:paraId="7C35655E" w14:textId="71B575F9" w:rsidR="008308F6" w:rsidRDefault="008308F6">
      <w:pPr>
        <w:pStyle w:val="TOC1"/>
        <w:tabs>
          <w:tab w:val="right" w:leader="dot" w:pos="9628"/>
        </w:tabs>
        <w:rPr>
          <w:noProof/>
        </w:rPr>
      </w:pPr>
      <w:hyperlink w:anchor="_Toc240015683" w:history="1">
        <w:r w:rsidRPr="004D1DF0">
          <w:rPr>
            <w:rStyle w:val="Hyperlink"/>
            <w:rFonts w:ascii="Calibri" w:eastAsia="Calibri" w:hAnsi="Calibri" w:cs="Calibri"/>
            <w:b/>
            <w:bCs/>
            <w:noProof/>
            <w:lang w:val="fr-FR"/>
          </w:rPr>
          <w:t>6.  État de l'art — pertinence économique du forage profond et retour d'expérience de terrain</w:t>
        </w:r>
        <w:r>
          <w:rPr>
            <w:noProof/>
            <w:webHidden/>
          </w:rPr>
          <w:tab/>
        </w:r>
        <w:r>
          <w:rPr>
            <w:noProof/>
            <w:webHidden/>
          </w:rPr>
          <w:fldChar w:fldCharType="begin"/>
        </w:r>
        <w:r>
          <w:rPr>
            <w:noProof/>
            <w:webHidden/>
          </w:rPr>
          <w:instrText xml:space="preserve"> PAGEREF _Toc240015683 \h </w:instrText>
        </w:r>
        <w:r>
          <w:rPr>
            <w:noProof/>
            <w:webHidden/>
          </w:rPr>
        </w:r>
        <w:r>
          <w:rPr>
            <w:noProof/>
            <w:webHidden/>
          </w:rPr>
          <w:fldChar w:fldCharType="separate"/>
        </w:r>
        <w:r>
          <w:rPr>
            <w:noProof/>
            <w:webHidden/>
          </w:rPr>
          <w:t>8</w:t>
        </w:r>
        <w:r>
          <w:rPr>
            <w:noProof/>
            <w:webHidden/>
          </w:rPr>
          <w:fldChar w:fldCharType="end"/>
        </w:r>
      </w:hyperlink>
    </w:p>
    <w:p w14:paraId="277ECEC5" w14:textId="7C2A48F4" w:rsidR="008308F6" w:rsidRDefault="008308F6">
      <w:pPr>
        <w:pStyle w:val="TOC1"/>
        <w:tabs>
          <w:tab w:val="right" w:leader="dot" w:pos="9628"/>
        </w:tabs>
        <w:rPr>
          <w:noProof/>
        </w:rPr>
      </w:pPr>
      <w:hyperlink w:anchor="_Toc240015684" w:history="1">
        <w:r w:rsidRPr="004D1DF0">
          <w:rPr>
            <w:rStyle w:val="Hyperlink"/>
            <w:rFonts w:ascii="Calibri" w:eastAsia="Calibri" w:hAnsi="Calibri" w:cs="Calibri"/>
            <w:b/>
            <w:bCs/>
            <w:noProof/>
            <w:lang w:val="fr-FR"/>
          </w:rPr>
          <w:t>7.  Le projet +EECM — démonstrateur ville par ville</w:t>
        </w:r>
        <w:r>
          <w:rPr>
            <w:noProof/>
            <w:webHidden/>
          </w:rPr>
          <w:tab/>
        </w:r>
        <w:r>
          <w:rPr>
            <w:noProof/>
            <w:webHidden/>
          </w:rPr>
          <w:fldChar w:fldCharType="begin"/>
        </w:r>
        <w:r>
          <w:rPr>
            <w:noProof/>
            <w:webHidden/>
          </w:rPr>
          <w:instrText xml:space="preserve"> PAGEREF _Toc240015684 \h </w:instrText>
        </w:r>
        <w:r>
          <w:rPr>
            <w:noProof/>
            <w:webHidden/>
          </w:rPr>
        </w:r>
        <w:r>
          <w:rPr>
            <w:noProof/>
            <w:webHidden/>
          </w:rPr>
          <w:fldChar w:fldCharType="separate"/>
        </w:r>
        <w:r>
          <w:rPr>
            <w:noProof/>
            <w:webHidden/>
          </w:rPr>
          <w:t>9</w:t>
        </w:r>
        <w:r>
          <w:rPr>
            <w:noProof/>
            <w:webHidden/>
          </w:rPr>
          <w:fldChar w:fldCharType="end"/>
        </w:r>
      </w:hyperlink>
    </w:p>
    <w:p w14:paraId="46CF2C90" w14:textId="43EBE803" w:rsidR="008308F6" w:rsidRDefault="008308F6">
      <w:pPr>
        <w:pStyle w:val="TOC1"/>
        <w:tabs>
          <w:tab w:val="right" w:leader="dot" w:pos="9628"/>
        </w:tabs>
        <w:rPr>
          <w:noProof/>
        </w:rPr>
      </w:pPr>
      <w:hyperlink w:anchor="_Toc240015685" w:history="1">
        <w:r w:rsidRPr="004D1DF0">
          <w:rPr>
            <w:rStyle w:val="Hyperlink"/>
            <w:rFonts w:ascii="Calibri" w:eastAsia="Calibri" w:hAnsi="Calibri" w:cs="Calibri"/>
            <w:b/>
            <w:bCs/>
            <w:noProof/>
            <w:lang w:val="fr-FR"/>
          </w:rPr>
          <w:t>8.  Massification en Europe — rentabiliser les formations, fiabiliser le personnel</w:t>
        </w:r>
        <w:r>
          <w:rPr>
            <w:noProof/>
            <w:webHidden/>
          </w:rPr>
          <w:tab/>
        </w:r>
        <w:r>
          <w:rPr>
            <w:noProof/>
            <w:webHidden/>
          </w:rPr>
          <w:fldChar w:fldCharType="begin"/>
        </w:r>
        <w:r>
          <w:rPr>
            <w:noProof/>
            <w:webHidden/>
          </w:rPr>
          <w:instrText xml:space="preserve"> PAGEREF _Toc240015685 \h </w:instrText>
        </w:r>
        <w:r>
          <w:rPr>
            <w:noProof/>
            <w:webHidden/>
          </w:rPr>
        </w:r>
        <w:r>
          <w:rPr>
            <w:noProof/>
            <w:webHidden/>
          </w:rPr>
          <w:fldChar w:fldCharType="separate"/>
        </w:r>
        <w:r>
          <w:rPr>
            <w:noProof/>
            <w:webHidden/>
          </w:rPr>
          <w:t>11</w:t>
        </w:r>
        <w:r>
          <w:rPr>
            <w:noProof/>
            <w:webHidden/>
          </w:rPr>
          <w:fldChar w:fldCharType="end"/>
        </w:r>
      </w:hyperlink>
    </w:p>
    <w:p w14:paraId="14ED77B7" w14:textId="7E21C7E4" w:rsidR="008308F6" w:rsidRDefault="008308F6">
      <w:pPr>
        <w:pStyle w:val="TOC1"/>
        <w:tabs>
          <w:tab w:val="right" w:leader="dot" w:pos="9628"/>
        </w:tabs>
        <w:rPr>
          <w:noProof/>
        </w:rPr>
      </w:pPr>
      <w:hyperlink w:anchor="_Toc240015686" w:history="1">
        <w:r w:rsidRPr="004D1DF0">
          <w:rPr>
            <w:rStyle w:val="Hyperlink"/>
            <w:rFonts w:ascii="Calibri" w:eastAsia="Calibri" w:hAnsi="Calibri" w:cs="Calibri"/>
            <w:b/>
            <w:bCs/>
            <w:noProof/>
            <w:lang w:val="fr-FR"/>
          </w:rPr>
          <w:t>9.  ROI remarquable — cadrage 10–20 ans</w:t>
        </w:r>
        <w:r>
          <w:rPr>
            <w:noProof/>
            <w:webHidden/>
          </w:rPr>
          <w:tab/>
        </w:r>
        <w:r>
          <w:rPr>
            <w:noProof/>
            <w:webHidden/>
          </w:rPr>
          <w:fldChar w:fldCharType="begin"/>
        </w:r>
        <w:r>
          <w:rPr>
            <w:noProof/>
            <w:webHidden/>
          </w:rPr>
          <w:instrText xml:space="preserve"> PAGEREF _Toc240015686 \h </w:instrText>
        </w:r>
        <w:r>
          <w:rPr>
            <w:noProof/>
            <w:webHidden/>
          </w:rPr>
        </w:r>
        <w:r>
          <w:rPr>
            <w:noProof/>
            <w:webHidden/>
          </w:rPr>
          <w:fldChar w:fldCharType="separate"/>
        </w:r>
        <w:r>
          <w:rPr>
            <w:noProof/>
            <w:webHidden/>
          </w:rPr>
          <w:t>12</w:t>
        </w:r>
        <w:r>
          <w:rPr>
            <w:noProof/>
            <w:webHidden/>
          </w:rPr>
          <w:fldChar w:fldCharType="end"/>
        </w:r>
      </w:hyperlink>
    </w:p>
    <w:p w14:paraId="7516746E" w14:textId="69C14828" w:rsidR="008308F6" w:rsidRDefault="008308F6">
      <w:pPr>
        <w:pStyle w:val="TOC1"/>
        <w:tabs>
          <w:tab w:val="right" w:leader="dot" w:pos="9628"/>
        </w:tabs>
        <w:rPr>
          <w:noProof/>
        </w:rPr>
      </w:pPr>
      <w:hyperlink w:anchor="_Toc240015687" w:history="1">
        <w:r w:rsidRPr="004D1DF0">
          <w:rPr>
            <w:rStyle w:val="Hyperlink"/>
            <w:rFonts w:ascii="Calibri" w:eastAsia="Calibri" w:hAnsi="Calibri" w:cs="Calibri"/>
            <w:b/>
            <w:bCs/>
            <w:noProof/>
            <w:lang w:val="fr-FR"/>
          </w:rPr>
          <w:t>10.  Recommandations opérationnelles</w:t>
        </w:r>
        <w:r>
          <w:rPr>
            <w:noProof/>
            <w:webHidden/>
          </w:rPr>
          <w:tab/>
        </w:r>
        <w:r>
          <w:rPr>
            <w:noProof/>
            <w:webHidden/>
          </w:rPr>
          <w:fldChar w:fldCharType="begin"/>
        </w:r>
        <w:r>
          <w:rPr>
            <w:noProof/>
            <w:webHidden/>
          </w:rPr>
          <w:instrText xml:space="preserve"> PAGEREF _Toc240015687 \h </w:instrText>
        </w:r>
        <w:r>
          <w:rPr>
            <w:noProof/>
            <w:webHidden/>
          </w:rPr>
        </w:r>
        <w:r>
          <w:rPr>
            <w:noProof/>
            <w:webHidden/>
          </w:rPr>
          <w:fldChar w:fldCharType="separate"/>
        </w:r>
        <w:r>
          <w:rPr>
            <w:noProof/>
            <w:webHidden/>
          </w:rPr>
          <w:t>13</w:t>
        </w:r>
        <w:r>
          <w:rPr>
            <w:noProof/>
            <w:webHidden/>
          </w:rPr>
          <w:fldChar w:fldCharType="end"/>
        </w:r>
      </w:hyperlink>
    </w:p>
    <w:p w14:paraId="797D8EB4" w14:textId="31CA38B7" w:rsidR="008308F6" w:rsidRDefault="008308F6">
      <w:pPr>
        <w:pStyle w:val="TOC1"/>
        <w:tabs>
          <w:tab w:val="right" w:leader="dot" w:pos="9628"/>
        </w:tabs>
        <w:rPr>
          <w:noProof/>
        </w:rPr>
      </w:pPr>
      <w:hyperlink w:anchor="_Toc240015688" w:history="1">
        <w:r w:rsidRPr="004D1DF0">
          <w:rPr>
            <w:rStyle w:val="Hyperlink"/>
            <w:rFonts w:ascii="Calibri" w:eastAsia="Calibri" w:hAnsi="Calibri" w:cs="Calibri"/>
            <w:b/>
            <w:bCs/>
            <w:noProof/>
            <w:lang w:val="fr-FR"/>
          </w:rPr>
          <w:t>11.  Synthèse pour le décideur</w:t>
        </w:r>
        <w:r>
          <w:rPr>
            <w:noProof/>
            <w:webHidden/>
          </w:rPr>
          <w:tab/>
        </w:r>
        <w:r>
          <w:rPr>
            <w:noProof/>
            <w:webHidden/>
          </w:rPr>
          <w:fldChar w:fldCharType="begin"/>
        </w:r>
        <w:r>
          <w:rPr>
            <w:noProof/>
            <w:webHidden/>
          </w:rPr>
          <w:instrText xml:space="preserve"> PAGEREF _Toc240015688 \h </w:instrText>
        </w:r>
        <w:r>
          <w:rPr>
            <w:noProof/>
            <w:webHidden/>
          </w:rPr>
        </w:r>
        <w:r>
          <w:rPr>
            <w:noProof/>
            <w:webHidden/>
          </w:rPr>
          <w:fldChar w:fldCharType="separate"/>
        </w:r>
        <w:r>
          <w:rPr>
            <w:noProof/>
            <w:webHidden/>
          </w:rPr>
          <w:t>13</w:t>
        </w:r>
        <w:r>
          <w:rPr>
            <w:noProof/>
            <w:webHidden/>
          </w:rPr>
          <w:fldChar w:fldCharType="end"/>
        </w:r>
      </w:hyperlink>
    </w:p>
    <w:p w14:paraId="60D87B10" w14:textId="1F22771E" w:rsidR="008308F6" w:rsidRDefault="008308F6">
      <w:pPr>
        <w:pStyle w:val="TOC1"/>
        <w:tabs>
          <w:tab w:val="right" w:leader="dot" w:pos="9628"/>
        </w:tabs>
        <w:rPr>
          <w:noProof/>
        </w:rPr>
      </w:pPr>
      <w:hyperlink w:anchor="_Toc240015689" w:history="1">
        <w:r w:rsidRPr="004D1DF0">
          <w:rPr>
            <w:rStyle w:val="Hyperlink"/>
            <w:rFonts w:ascii="Calibri" w:eastAsia="Calibri" w:hAnsi="Calibri" w:cs="Calibri"/>
            <w:b/>
            <w:bCs/>
            <w:noProof/>
            <w:lang w:val="fr-FR"/>
          </w:rPr>
          <w:t>Références</w:t>
        </w:r>
        <w:r>
          <w:rPr>
            <w:noProof/>
            <w:webHidden/>
          </w:rPr>
          <w:tab/>
        </w:r>
        <w:r>
          <w:rPr>
            <w:noProof/>
            <w:webHidden/>
          </w:rPr>
          <w:fldChar w:fldCharType="begin"/>
        </w:r>
        <w:r>
          <w:rPr>
            <w:noProof/>
            <w:webHidden/>
          </w:rPr>
          <w:instrText xml:space="preserve"> PAGEREF _Toc240015689 \h </w:instrText>
        </w:r>
        <w:r>
          <w:rPr>
            <w:noProof/>
            <w:webHidden/>
          </w:rPr>
        </w:r>
        <w:r>
          <w:rPr>
            <w:noProof/>
            <w:webHidden/>
          </w:rPr>
          <w:fldChar w:fldCharType="separate"/>
        </w:r>
        <w:r>
          <w:rPr>
            <w:noProof/>
            <w:webHidden/>
          </w:rPr>
          <w:t>14</w:t>
        </w:r>
        <w:r>
          <w:rPr>
            <w:noProof/>
            <w:webHidden/>
          </w:rPr>
          <w:fldChar w:fldCharType="end"/>
        </w:r>
      </w:hyperlink>
    </w:p>
    <w:p w14:paraId="6BF5EF66" w14:textId="2CF5736D" w:rsidR="008308F6" w:rsidRDefault="008308F6">
      <w:pPr>
        <w:pStyle w:val="TOC1"/>
        <w:tabs>
          <w:tab w:val="right" w:leader="dot" w:pos="9628"/>
        </w:tabs>
        <w:rPr>
          <w:noProof/>
        </w:rPr>
      </w:pPr>
      <w:hyperlink w:anchor="_Toc240015690" w:history="1">
        <w:r w:rsidRPr="004D1DF0">
          <w:rPr>
            <w:rStyle w:val="Hyperlink"/>
            <w:rFonts w:ascii="Calibri" w:eastAsia="Calibri" w:hAnsi="Calibri" w:cs="Calibri"/>
            <w:b/>
            <w:bCs/>
            <w:noProof/>
            <w:lang w:val="fr-FR"/>
          </w:rPr>
          <w:t>Définition des acronymes</w:t>
        </w:r>
        <w:r>
          <w:rPr>
            <w:noProof/>
            <w:webHidden/>
          </w:rPr>
          <w:tab/>
        </w:r>
        <w:r>
          <w:rPr>
            <w:noProof/>
            <w:webHidden/>
          </w:rPr>
          <w:fldChar w:fldCharType="begin"/>
        </w:r>
        <w:r>
          <w:rPr>
            <w:noProof/>
            <w:webHidden/>
          </w:rPr>
          <w:instrText xml:space="preserve"> PAGEREF _Toc240015690 \h </w:instrText>
        </w:r>
        <w:r>
          <w:rPr>
            <w:noProof/>
            <w:webHidden/>
          </w:rPr>
        </w:r>
        <w:r>
          <w:rPr>
            <w:noProof/>
            <w:webHidden/>
          </w:rPr>
          <w:fldChar w:fldCharType="separate"/>
        </w:r>
        <w:r>
          <w:rPr>
            <w:noProof/>
            <w:webHidden/>
          </w:rPr>
          <w:t>14</w:t>
        </w:r>
        <w:r>
          <w:rPr>
            <w:noProof/>
            <w:webHidden/>
          </w:rPr>
          <w:fldChar w:fldCharType="end"/>
        </w:r>
      </w:hyperlink>
    </w:p>
    <w:p w14:paraId="54EE0D0C" w14:textId="1539A770" w:rsidR="008308F6" w:rsidRDefault="008308F6">
      <w:pPr>
        <w:pStyle w:val="TOC1"/>
        <w:tabs>
          <w:tab w:val="right" w:leader="dot" w:pos="9628"/>
        </w:tabs>
        <w:rPr>
          <w:noProof/>
        </w:rPr>
      </w:pPr>
      <w:hyperlink w:anchor="_Toc240015691" w:history="1">
        <w:r w:rsidRPr="004D1DF0">
          <w:rPr>
            <w:rStyle w:val="Hyperlink"/>
            <w:rFonts w:ascii="Calibri" w:eastAsia="Calibri" w:hAnsi="Calibri" w:cs="Calibri"/>
            <w:b/>
            <w:bCs/>
            <w:noProof/>
            <w:lang w:val="fr-FR"/>
          </w:rPr>
          <w:t>Index</w:t>
        </w:r>
        <w:r>
          <w:rPr>
            <w:noProof/>
            <w:webHidden/>
          </w:rPr>
          <w:tab/>
        </w:r>
        <w:r>
          <w:rPr>
            <w:noProof/>
            <w:webHidden/>
          </w:rPr>
          <w:fldChar w:fldCharType="begin"/>
        </w:r>
        <w:r>
          <w:rPr>
            <w:noProof/>
            <w:webHidden/>
          </w:rPr>
          <w:instrText xml:space="preserve"> PAGEREF _Toc240015691 \h </w:instrText>
        </w:r>
        <w:r>
          <w:rPr>
            <w:noProof/>
            <w:webHidden/>
          </w:rPr>
        </w:r>
        <w:r>
          <w:rPr>
            <w:noProof/>
            <w:webHidden/>
          </w:rPr>
          <w:fldChar w:fldCharType="separate"/>
        </w:r>
        <w:r>
          <w:rPr>
            <w:noProof/>
            <w:webHidden/>
          </w:rPr>
          <w:t>16</w:t>
        </w:r>
        <w:r>
          <w:rPr>
            <w:noProof/>
            <w:webHidden/>
          </w:rPr>
          <w:fldChar w:fldCharType="end"/>
        </w:r>
      </w:hyperlink>
    </w:p>
    <w:p w14:paraId="35E49DA3" w14:textId="4B775BE7" w:rsidR="008E7E6D" w:rsidRDefault="008308F6" w:rsidP="008308F6">
      <w:pPr>
        <w:tabs>
          <w:tab w:val="right" w:leader="dot" w:pos="9350"/>
        </w:tabs>
        <w:spacing w:after="90"/>
      </w:pPr>
      <w:r>
        <w:rPr>
          <w:rFonts w:ascii="Calibri" w:eastAsia="Calibri" w:hAnsi="Calibri" w:cs="Calibri"/>
          <w:lang w:val="fr-FR"/>
        </w:rPr>
        <w:fldChar w:fldCharType="end"/>
      </w:r>
    </w:p>
    <w:sectPr w:rsidR="008E7E6D" w:rsidSect="008308F6">
      <w:headerReference w:type="default" r:id="rId11"/>
      <w:footerReference w:type="default" r:id="rId12"/>
      <w:pgSz w:w="11906" w:h="16838"/>
      <w:pgMar w:top="1134" w:right="1134" w:bottom="1134" w:left="1134" w:header="708" w:footer="40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0D4E33A" w14:textId="77777777" w:rsidR="00325D3C" w:rsidRDefault="00325D3C">
      <w:r>
        <w:separator/>
      </w:r>
    </w:p>
  </w:endnote>
  <w:endnote w:type="continuationSeparator" w:id="0">
    <w:p w14:paraId="231126C5" w14:textId="77777777" w:rsidR="00325D3C" w:rsidRDefault="00325D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ptos Display">
    <w:panose1 w:val="020B0004020202020204"/>
    <w:charset w:val="00"/>
    <w:family w:val="roman"/>
    <w:notTrueType/>
    <w:pitch w:val="default"/>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7A70B6E" w14:textId="77777777" w:rsidR="008E7E6D" w:rsidRDefault="008E7E6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324BA8" w14:textId="31D363B1" w:rsidR="008E7E6D" w:rsidRDefault="00000000">
    <w:pPr>
      <w:jc w:val="center"/>
    </w:pPr>
    <w:r>
      <w:rPr>
        <w:rFonts w:ascii="Calibri" w:eastAsia="Calibri" w:hAnsi="Calibri" w:cs="Calibri"/>
        <w:color w:val="666666"/>
        <w:sz w:val="15"/>
        <w:szCs w:val="15"/>
      </w:rPr>
      <w:t xml:space="preserve">page </w:t>
    </w:r>
    <w:r>
      <w:rPr>
        <w:rFonts w:ascii="Calibri" w:eastAsia="Calibri" w:hAnsi="Calibri" w:cs="Calibri"/>
        <w:color w:val="666666"/>
        <w:sz w:val="15"/>
        <w:szCs w:val="15"/>
      </w:rPr>
      <w:fldChar w:fldCharType="begin"/>
    </w:r>
    <w:r>
      <w:rPr>
        <w:rFonts w:ascii="Calibri" w:eastAsia="Calibri" w:hAnsi="Calibri" w:cs="Calibri"/>
        <w:color w:val="666666"/>
        <w:sz w:val="15"/>
        <w:szCs w:val="15"/>
      </w:rPr>
      <w:instrText>PAGE</w:instrText>
    </w:r>
    <w:r>
      <w:rPr>
        <w:rFonts w:ascii="Calibri" w:eastAsia="Calibri" w:hAnsi="Calibri" w:cs="Calibri"/>
        <w:color w:val="666666"/>
        <w:sz w:val="15"/>
        <w:szCs w:val="15"/>
      </w:rPr>
      <w:fldChar w:fldCharType="separate"/>
    </w:r>
    <w:r w:rsidR="008308F6">
      <w:rPr>
        <w:rFonts w:ascii="Calibri" w:eastAsia="Calibri" w:hAnsi="Calibri" w:cs="Calibri"/>
        <w:noProof/>
        <w:color w:val="666666"/>
        <w:sz w:val="15"/>
        <w:szCs w:val="15"/>
      </w:rPr>
      <w:t>3</w:t>
    </w:r>
    <w:r>
      <w:rPr>
        <w:rFonts w:ascii="Calibri" w:eastAsia="Calibri" w:hAnsi="Calibri" w:cs="Calibri"/>
        <w:color w:val="666666"/>
        <w:sz w:val="15"/>
        <w:szCs w:val="15"/>
      </w:rPr>
      <w:fldChar w:fldCharType="end"/>
    </w:r>
    <w:r>
      <w:rPr>
        <w:rFonts w:ascii="Calibri" w:eastAsia="Calibri" w:hAnsi="Calibri" w:cs="Calibri"/>
        <w:color w:val="666666"/>
        <w:sz w:val="15"/>
        <w:szCs w:val="15"/>
      </w:rPr>
      <w:t xml:space="preserve"> / </w:t>
    </w:r>
    <w:r>
      <w:rPr>
        <w:rFonts w:ascii="Calibri" w:eastAsia="Calibri" w:hAnsi="Calibri" w:cs="Calibri"/>
        <w:color w:val="666666"/>
        <w:sz w:val="15"/>
        <w:szCs w:val="15"/>
      </w:rPr>
      <w:fldChar w:fldCharType="begin"/>
    </w:r>
    <w:r>
      <w:rPr>
        <w:rFonts w:ascii="Calibri" w:eastAsia="Calibri" w:hAnsi="Calibri" w:cs="Calibri"/>
        <w:color w:val="666666"/>
        <w:sz w:val="15"/>
        <w:szCs w:val="15"/>
      </w:rPr>
      <w:instrText>NUMPAGES</w:instrText>
    </w:r>
    <w:r>
      <w:rPr>
        <w:rFonts w:ascii="Calibri" w:eastAsia="Calibri" w:hAnsi="Calibri" w:cs="Calibri"/>
        <w:color w:val="666666"/>
        <w:sz w:val="15"/>
        <w:szCs w:val="15"/>
      </w:rPr>
      <w:fldChar w:fldCharType="separate"/>
    </w:r>
    <w:r w:rsidR="008308F6">
      <w:rPr>
        <w:rFonts w:ascii="Calibri" w:eastAsia="Calibri" w:hAnsi="Calibri" w:cs="Calibri"/>
        <w:noProof/>
        <w:color w:val="666666"/>
        <w:sz w:val="15"/>
        <w:szCs w:val="15"/>
      </w:rPr>
      <w:t>4</w:t>
    </w:r>
    <w:r>
      <w:rPr>
        <w:rFonts w:ascii="Calibri" w:eastAsia="Calibri" w:hAnsi="Calibri" w:cs="Calibri"/>
        <w:color w:val="666666"/>
        <w:sz w:val="15"/>
        <w:szCs w:val="15"/>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2E5BDE" w14:textId="5DACC65E" w:rsidR="008E7E6D" w:rsidRDefault="00000000">
    <w:pPr>
      <w:jc w:val="center"/>
    </w:pPr>
    <w:r>
      <w:rPr>
        <w:rFonts w:ascii="Calibri" w:eastAsia="Calibri" w:hAnsi="Calibri" w:cs="Calibri"/>
        <w:color w:val="666666"/>
        <w:sz w:val="15"/>
        <w:szCs w:val="15"/>
      </w:rPr>
      <w:t xml:space="preserve">page </w:t>
    </w:r>
    <w:r>
      <w:rPr>
        <w:rFonts w:ascii="Calibri" w:eastAsia="Calibri" w:hAnsi="Calibri" w:cs="Calibri"/>
        <w:color w:val="666666"/>
        <w:sz w:val="15"/>
        <w:szCs w:val="15"/>
      </w:rPr>
      <w:fldChar w:fldCharType="begin"/>
    </w:r>
    <w:r>
      <w:rPr>
        <w:rFonts w:ascii="Calibri" w:eastAsia="Calibri" w:hAnsi="Calibri" w:cs="Calibri"/>
        <w:color w:val="666666"/>
        <w:sz w:val="15"/>
        <w:szCs w:val="15"/>
      </w:rPr>
      <w:instrText>PAGE</w:instrText>
    </w:r>
    <w:r>
      <w:rPr>
        <w:rFonts w:ascii="Calibri" w:eastAsia="Calibri" w:hAnsi="Calibri" w:cs="Calibri"/>
        <w:color w:val="666666"/>
        <w:sz w:val="15"/>
        <w:szCs w:val="15"/>
      </w:rPr>
      <w:fldChar w:fldCharType="separate"/>
    </w:r>
    <w:r w:rsidR="008308F6">
      <w:rPr>
        <w:rFonts w:ascii="Calibri" w:eastAsia="Calibri" w:hAnsi="Calibri" w:cs="Calibri"/>
        <w:noProof/>
        <w:color w:val="666666"/>
        <w:sz w:val="15"/>
        <w:szCs w:val="15"/>
      </w:rPr>
      <w:t>15</w:t>
    </w:r>
    <w:r>
      <w:rPr>
        <w:rFonts w:ascii="Calibri" w:eastAsia="Calibri" w:hAnsi="Calibri" w:cs="Calibri"/>
        <w:color w:val="666666"/>
        <w:sz w:val="15"/>
        <w:szCs w:val="15"/>
      </w:rPr>
      <w:fldChar w:fldCharType="end"/>
    </w:r>
    <w:r>
      <w:rPr>
        <w:rFonts w:ascii="Calibri" w:eastAsia="Calibri" w:hAnsi="Calibri" w:cs="Calibri"/>
        <w:color w:val="666666"/>
        <w:sz w:val="15"/>
        <w:szCs w:val="15"/>
      </w:rPr>
      <w:t xml:space="preserve"> / </w:t>
    </w:r>
    <w:r>
      <w:rPr>
        <w:rFonts w:ascii="Calibri" w:eastAsia="Calibri" w:hAnsi="Calibri" w:cs="Calibri"/>
        <w:color w:val="666666"/>
        <w:sz w:val="15"/>
        <w:szCs w:val="15"/>
      </w:rPr>
      <w:fldChar w:fldCharType="begin"/>
    </w:r>
    <w:r>
      <w:rPr>
        <w:rFonts w:ascii="Calibri" w:eastAsia="Calibri" w:hAnsi="Calibri" w:cs="Calibri"/>
        <w:color w:val="666666"/>
        <w:sz w:val="15"/>
        <w:szCs w:val="15"/>
      </w:rPr>
      <w:instrText>NUMPAGES</w:instrText>
    </w:r>
    <w:r>
      <w:rPr>
        <w:rFonts w:ascii="Calibri" w:eastAsia="Calibri" w:hAnsi="Calibri" w:cs="Calibri"/>
        <w:color w:val="666666"/>
        <w:sz w:val="15"/>
        <w:szCs w:val="15"/>
      </w:rPr>
      <w:fldChar w:fldCharType="separate"/>
    </w:r>
    <w:r w:rsidR="008308F6">
      <w:rPr>
        <w:rFonts w:ascii="Calibri" w:eastAsia="Calibri" w:hAnsi="Calibri" w:cs="Calibri"/>
        <w:noProof/>
        <w:color w:val="666666"/>
        <w:sz w:val="15"/>
        <w:szCs w:val="15"/>
      </w:rPr>
      <w:t>15</w:t>
    </w:r>
    <w:r>
      <w:rPr>
        <w:rFonts w:ascii="Calibri" w:eastAsia="Calibri" w:hAnsi="Calibri" w:cs="Calibri"/>
        <w:color w:val="666666"/>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0D92B30" w14:textId="77777777" w:rsidR="00325D3C" w:rsidRDefault="00325D3C">
      <w:r>
        <w:separator/>
      </w:r>
    </w:p>
  </w:footnote>
  <w:footnote w:type="continuationSeparator" w:id="0">
    <w:p w14:paraId="09BCF719" w14:textId="77777777" w:rsidR="00325D3C" w:rsidRDefault="00325D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05562B" w14:textId="77777777" w:rsidR="008E7E6D" w:rsidRDefault="008E7E6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C614F7E" w14:textId="77777777" w:rsidR="008E7E6D" w:rsidRPr="008308F6" w:rsidRDefault="00000000">
    <w:pPr>
      <w:pBdr>
        <w:bottom w:val="single" w:sz="4" w:space="4" w:color="999999"/>
      </w:pBdr>
      <w:jc w:val="center"/>
      <w:rPr>
        <w:lang w:val="fr-FR"/>
      </w:rPr>
    </w:pPr>
    <w:r w:rsidRPr="008308F6">
      <w:rPr>
        <w:rFonts w:ascii="Calibri" w:eastAsia="Calibri" w:hAnsi="Calibri" w:cs="Calibri"/>
        <w:i/>
        <w:iCs/>
        <w:color w:val="666666"/>
        <w:sz w:val="15"/>
        <w:szCs w:val="15"/>
        <w:lang w:val="fr-FR"/>
      </w:rPr>
      <w:t>Économie &amp; Adaptation Géothermie · François Dorléans · EE-NOTE-EECM-2026-001 Rev.2-C</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C8F39F" w14:textId="77777777" w:rsidR="008E7E6D" w:rsidRPr="008308F6" w:rsidRDefault="00000000">
    <w:pPr>
      <w:pBdr>
        <w:bottom w:val="single" w:sz="4" w:space="4" w:color="999999"/>
      </w:pBdr>
      <w:jc w:val="center"/>
      <w:rPr>
        <w:lang w:val="fr-FR"/>
      </w:rPr>
    </w:pPr>
    <w:r w:rsidRPr="008308F6">
      <w:rPr>
        <w:rFonts w:ascii="Calibri" w:eastAsia="Calibri" w:hAnsi="Calibri" w:cs="Calibri"/>
        <w:i/>
        <w:iCs/>
        <w:color w:val="666666"/>
        <w:sz w:val="15"/>
        <w:szCs w:val="15"/>
        <w:lang w:val="fr-FR"/>
      </w:rPr>
      <w:t>Économie &amp; Adaptation Géothermie · François Dorléans · EE-NOTE-EECM-2026-001 Rev.2-C</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1F1048B"/>
    <w:multiLevelType w:val="hybridMultilevel"/>
    <w:tmpl w:val="E2DA5916"/>
    <w:lvl w:ilvl="0" w:tplc="0C5EDF24">
      <w:start w:val="1"/>
      <w:numFmt w:val="bullet"/>
      <w:lvlText w:val="●"/>
      <w:lvlJc w:val="left"/>
      <w:pPr>
        <w:ind w:left="720" w:hanging="360"/>
      </w:pPr>
    </w:lvl>
    <w:lvl w:ilvl="1" w:tplc="297E10E2">
      <w:start w:val="1"/>
      <w:numFmt w:val="bullet"/>
      <w:lvlText w:val="○"/>
      <w:lvlJc w:val="left"/>
      <w:pPr>
        <w:ind w:left="1440" w:hanging="360"/>
      </w:pPr>
    </w:lvl>
    <w:lvl w:ilvl="2" w:tplc="2E32B12C">
      <w:start w:val="1"/>
      <w:numFmt w:val="bullet"/>
      <w:lvlText w:val="■"/>
      <w:lvlJc w:val="left"/>
      <w:pPr>
        <w:ind w:left="2160" w:hanging="360"/>
      </w:pPr>
    </w:lvl>
    <w:lvl w:ilvl="3" w:tplc="671E5AFE">
      <w:start w:val="1"/>
      <w:numFmt w:val="bullet"/>
      <w:lvlText w:val="●"/>
      <w:lvlJc w:val="left"/>
      <w:pPr>
        <w:ind w:left="2880" w:hanging="360"/>
      </w:pPr>
    </w:lvl>
    <w:lvl w:ilvl="4" w:tplc="209A0DE4">
      <w:start w:val="1"/>
      <w:numFmt w:val="bullet"/>
      <w:lvlText w:val="○"/>
      <w:lvlJc w:val="left"/>
      <w:pPr>
        <w:ind w:left="3600" w:hanging="360"/>
      </w:pPr>
    </w:lvl>
    <w:lvl w:ilvl="5" w:tplc="69123164">
      <w:start w:val="1"/>
      <w:numFmt w:val="bullet"/>
      <w:lvlText w:val="■"/>
      <w:lvlJc w:val="left"/>
      <w:pPr>
        <w:ind w:left="4320" w:hanging="360"/>
      </w:pPr>
    </w:lvl>
    <w:lvl w:ilvl="6" w:tplc="2D8A70B6">
      <w:start w:val="1"/>
      <w:numFmt w:val="bullet"/>
      <w:lvlText w:val="●"/>
      <w:lvlJc w:val="left"/>
      <w:pPr>
        <w:ind w:left="5040" w:hanging="360"/>
      </w:pPr>
    </w:lvl>
    <w:lvl w:ilvl="7" w:tplc="52FE692A">
      <w:start w:val="1"/>
      <w:numFmt w:val="bullet"/>
      <w:lvlText w:val="●"/>
      <w:lvlJc w:val="left"/>
      <w:pPr>
        <w:ind w:left="5760" w:hanging="360"/>
      </w:pPr>
    </w:lvl>
    <w:lvl w:ilvl="8" w:tplc="FCB67A06">
      <w:start w:val="1"/>
      <w:numFmt w:val="bullet"/>
      <w:lvlText w:val="●"/>
      <w:lvlJc w:val="left"/>
      <w:pPr>
        <w:ind w:left="6480" w:hanging="360"/>
      </w:pPr>
    </w:lvl>
  </w:abstractNum>
  <w:num w:numId="1" w16cid:durableId="975990324">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9"/>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7E6D"/>
    <w:rsid w:val="00325D3C"/>
    <w:rsid w:val="00503C68"/>
    <w:rsid w:val="008308F6"/>
    <w:rsid w:val="008E7E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DFC28F2"/>
  <w15:docId w15:val="{7638F664-D62A-0645-A920-C6A9D19299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TOC1">
    <w:name w:val="toc 1"/>
    <w:basedOn w:val="Normal"/>
    <w:next w:val="Normal"/>
    <w:autoRedefine/>
    <w:uiPriority w:val="39"/>
    <w:unhideWhenUsed/>
    <w:rsid w:val="008308F6"/>
    <w:pPr>
      <w:spacing w:after="100"/>
    </w:pPr>
  </w:style>
  <w:style w:type="paragraph" w:styleId="Header">
    <w:name w:val="header"/>
    <w:basedOn w:val="Normal"/>
    <w:link w:val="HeaderChar"/>
    <w:uiPriority w:val="99"/>
    <w:unhideWhenUsed/>
    <w:rsid w:val="008308F6"/>
    <w:pPr>
      <w:tabs>
        <w:tab w:val="center" w:pos="4513"/>
        <w:tab w:val="right" w:pos="9026"/>
      </w:tabs>
    </w:pPr>
  </w:style>
  <w:style w:type="character" w:customStyle="1" w:styleId="HeaderChar">
    <w:name w:val="Header Char"/>
    <w:basedOn w:val="DefaultParagraphFont"/>
    <w:link w:val="Header"/>
    <w:uiPriority w:val="99"/>
    <w:rsid w:val="008308F6"/>
  </w:style>
  <w:style w:type="paragraph" w:styleId="Footer">
    <w:name w:val="footer"/>
    <w:basedOn w:val="Normal"/>
    <w:link w:val="FooterChar"/>
    <w:uiPriority w:val="99"/>
    <w:unhideWhenUsed/>
    <w:rsid w:val="008308F6"/>
    <w:pPr>
      <w:tabs>
        <w:tab w:val="center" w:pos="4513"/>
        <w:tab w:val="right" w:pos="9026"/>
      </w:tabs>
    </w:pPr>
  </w:style>
  <w:style w:type="character" w:customStyle="1" w:styleId="FooterChar">
    <w:name w:val="Footer Char"/>
    <w:basedOn w:val="DefaultParagraphFont"/>
    <w:link w:val="Footer"/>
    <w:uiPriority w:val="99"/>
    <w:rsid w:val="008308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16</Pages>
  <Words>6224</Words>
  <Characters>33736</Characters>
  <Application>Microsoft Office Word</Application>
  <DocSecurity>0</DocSecurity>
  <Lines>648</Lines>
  <Paragraphs>416</Paragraphs>
  <ScaleCrop>false</ScaleCrop>
  <Company/>
  <LinksUpToDate>false</LinksUpToDate>
  <CharactersWithSpaces>39544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Économie et adaptation de la géothermie</dc:title>
  <dc:creator>François Dorléans — EngEthics Consulting</dc:creator>
  <cp:lastModifiedBy>Francois Dorleans</cp:lastModifiedBy>
  <cp:revision>2</cp:revision>
  <cp:lastPrinted>2026-09-11T08:41:00Z</cp:lastPrinted>
  <dcterms:created xsi:type="dcterms:W3CDTF">2026-09-11T08:23:00Z</dcterms:created>
  <dcterms:modified xsi:type="dcterms:W3CDTF">2026-09-11T08:41:00Z</dcterms:modified>
</cp:coreProperties>
</file>