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306E58" w14:textId="77777777" w:rsidR="00386890" w:rsidRPr="006807E4" w:rsidRDefault="00386890" w:rsidP="006807E4">
      <w:pPr>
        <w:rPr>
          <w:sz w:val="36"/>
          <w:szCs w:val="36"/>
        </w:rPr>
      </w:pPr>
    </w:p>
    <w:p w14:paraId="19060F8C" w14:textId="77777777" w:rsidR="00386890" w:rsidRPr="006807E4" w:rsidRDefault="00000000" w:rsidP="006807E4">
      <w:pPr>
        <w:jc w:val="center"/>
        <w:rPr>
          <w:sz w:val="36"/>
          <w:szCs w:val="36"/>
        </w:rPr>
      </w:pPr>
      <w:r w:rsidRPr="006807E4">
        <w:rPr>
          <w:b/>
          <w:bCs/>
          <w:sz w:val="72"/>
          <w:szCs w:val="72"/>
        </w:rPr>
        <w:t>From Angle Grinders to Continuous Laser Cleaning: A Continuous-Improvement Business Case for Two Land Rigs</w:t>
      </w:r>
    </w:p>
    <w:p w14:paraId="188F1ECA" w14:textId="77777777" w:rsidR="00386890" w:rsidRDefault="00386890">
      <w:pPr>
        <w:spacing w:after="1600"/>
      </w:pPr>
    </w:p>
    <w:p w14:paraId="459CF650" w14:textId="77777777" w:rsidR="00386890" w:rsidRDefault="00386890">
      <w:pPr>
        <w:pBdr>
          <w:bottom w:val="single" w:sz="6" w:space="4" w:color="888888"/>
        </w:pBdr>
        <w:spacing w:after="200"/>
      </w:pPr>
    </w:p>
    <w:p w14:paraId="2DDC540B" w14:textId="77777777" w:rsidR="006807E4" w:rsidRDefault="006807E4">
      <w:pPr>
        <w:pBdr>
          <w:bottom w:val="single" w:sz="6" w:space="4" w:color="888888"/>
        </w:pBdr>
        <w:spacing w:after="200"/>
      </w:pPr>
    </w:p>
    <w:p w14:paraId="6B3C3DB8" w14:textId="77777777" w:rsidR="006807E4" w:rsidRDefault="006807E4">
      <w:pPr>
        <w:pBdr>
          <w:bottom w:val="single" w:sz="6" w:space="4" w:color="888888"/>
        </w:pBdr>
        <w:spacing w:after="200"/>
      </w:pPr>
    </w:p>
    <w:p w14:paraId="2904D75F" w14:textId="77777777" w:rsidR="006807E4" w:rsidRDefault="006807E4">
      <w:pPr>
        <w:pBdr>
          <w:bottom w:val="single" w:sz="6" w:space="4" w:color="888888"/>
        </w:pBdr>
        <w:spacing w:after="200"/>
      </w:pPr>
    </w:p>
    <w:p w14:paraId="28671643" w14:textId="77777777" w:rsidR="006807E4" w:rsidRDefault="006807E4">
      <w:pPr>
        <w:pBdr>
          <w:bottom w:val="single" w:sz="6" w:space="4" w:color="888888"/>
        </w:pBdr>
        <w:spacing w:after="200"/>
      </w:pPr>
    </w:p>
    <w:p w14:paraId="118E2862" w14:textId="77777777" w:rsidR="006807E4" w:rsidRDefault="006807E4">
      <w:pPr>
        <w:pBdr>
          <w:bottom w:val="single" w:sz="6" w:space="4" w:color="888888"/>
        </w:pBdr>
        <w:spacing w:after="200"/>
      </w:pPr>
    </w:p>
    <w:p w14:paraId="1BBCEEB4" w14:textId="77777777" w:rsidR="006807E4" w:rsidRDefault="006807E4">
      <w:pPr>
        <w:pBdr>
          <w:bottom w:val="single" w:sz="6" w:space="4" w:color="888888"/>
        </w:pBdr>
        <w:spacing w:after="200"/>
      </w:pPr>
    </w:p>
    <w:p w14:paraId="31A2271E" w14:textId="77777777" w:rsidR="00386890" w:rsidRDefault="00000000">
      <w:pPr>
        <w:spacing w:after="120"/>
        <w:jc w:val="center"/>
      </w:pPr>
      <w:r>
        <w:rPr>
          <w:i/>
          <w:iCs/>
        </w:rPr>
        <w:t>Continuous Laser Cleaning — Business Case</w:t>
      </w:r>
    </w:p>
    <w:p w14:paraId="34C36B63" w14:textId="77777777" w:rsidR="00386890" w:rsidRDefault="00000000">
      <w:pPr>
        <w:spacing w:after="120"/>
        <w:jc w:val="center"/>
      </w:pPr>
      <w:r>
        <w:rPr>
          <w:b/>
          <w:bCs/>
        </w:rPr>
        <w:t>Content authored by François Dorléans</w:t>
      </w:r>
    </w:p>
    <w:p w14:paraId="47FB855D" w14:textId="77777777" w:rsidR="00386890" w:rsidRDefault="00000000">
      <w:pPr>
        <w:spacing w:after="240"/>
        <w:jc w:val="center"/>
      </w:pPr>
      <w:r>
        <w:rPr>
          <w:i/>
          <w:iCs/>
          <w:sz w:val="17"/>
          <w:szCs w:val="17"/>
        </w:rPr>
        <w:t xml:space="preserve">AI transparency: this English revision was drafted with Claude (Anthropic) from François </w:t>
      </w:r>
      <w:proofErr w:type="spellStart"/>
      <w:r>
        <w:rPr>
          <w:i/>
          <w:iCs/>
          <w:sz w:val="17"/>
          <w:szCs w:val="17"/>
        </w:rPr>
        <w:t>Dorléans's</w:t>
      </w:r>
      <w:proofErr w:type="spellEnd"/>
      <w:r>
        <w:rPr>
          <w:i/>
          <w:iCs/>
          <w:sz w:val="17"/>
          <w:szCs w:val="17"/>
        </w:rPr>
        <w:t xml:space="preserve"> prior French working memos (Rev. 01–04); technical judgments, sourcing decisions, and the vendor-neutrality position remain the author's own.</w:t>
      </w:r>
    </w:p>
    <w:p w14:paraId="173816CE" w14:textId="77777777" w:rsidR="00386890" w:rsidRDefault="00386890">
      <w:pPr>
        <w:pBdr>
          <w:bottom w:val="single" w:sz="6" w:space="4" w:color="888888"/>
        </w:pBdr>
        <w:spacing w:after="200"/>
      </w:pPr>
    </w:p>
    <w:p w14:paraId="5DCFA464" w14:textId="77777777" w:rsidR="00386890" w:rsidRDefault="00000000">
      <w:pPr>
        <w:spacing w:after="160"/>
      </w:pPr>
      <w:r>
        <w:rPr>
          <w:b/>
          <w:bCs/>
        </w:rPr>
        <w:t xml:space="preserve">Document ID: </w:t>
      </w:r>
      <w:r>
        <w:t>MEMO-EE-HSE-LASER-DISC-2026-01</w:t>
      </w:r>
    </w:p>
    <w:p w14:paraId="01E27C14" w14:textId="77777777" w:rsidR="00386890" w:rsidRDefault="00000000">
      <w:pPr>
        <w:spacing w:after="160"/>
      </w:pPr>
      <w:r>
        <w:rPr>
          <w:b/>
          <w:bCs/>
        </w:rPr>
        <w:t xml:space="preserve">Revision: </w:t>
      </w:r>
      <w:r>
        <w:t>05-C</w:t>
      </w:r>
    </w:p>
    <w:p w14:paraId="68BEC662" w14:textId="77777777" w:rsidR="00386890" w:rsidRDefault="00000000">
      <w:pPr>
        <w:spacing w:after="160"/>
      </w:pPr>
      <w:r>
        <w:rPr>
          <w:b/>
          <w:bCs/>
        </w:rPr>
        <w:t xml:space="preserve">Date: </w:t>
      </w:r>
      <w:r>
        <w:t>11/09/2026</w:t>
      </w:r>
    </w:p>
    <w:p w14:paraId="79CD8381" w14:textId="77777777" w:rsidR="00386890" w:rsidRDefault="00000000">
      <w:pPr>
        <w:spacing w:after="160"/>
      </w:pPr>
      <w:r>
        <w:rPr>
          <w:b/>
          <w:bCs/>
        </w:rPr>
        <w:t xml:space="preserve">Language: </w:t>
      </w:r>
      <w:r>
        <w:t>English (translated and reframed from the French working memos)</w:t>
      </w:r>
    </w:p>
    <w:p w14:paraId="5C3ADDE7" w14:textId="77777777" w:rsidR="00386890" w:rsidRPr="006807E4" w:rsidRDefault="00000000">
      <w:pPr>
        <w:spacing w:after="160"/>
        <w:rPr>
          <w:lang w:val="fr-FR"/>
        </w:rPr>
      </w:pPr>
      <w:proofErr w:type="gramStart"/>
      <w:r w:rsidRPr="006807E4">
        <w:rPr>
          <w:b/>
          <w:bCs/>
          <w:lang w:val="fr-FR"/>
        </w:rPr>
        <w:t>Author:</w:t>
      </w:r>
      <w:proofErr w:type="gramEnd"/>
      <w:r w:rsidRPr="006807E4">
        <w:rPr>
          <w:b/>
          <w:bCs/>
          <w:lang w:val="fr-FR"/>
        </w:rPr>
        <w:t xml:space="preserve"> </w:t>
      </w:r>
      <w:r w:rsidRPr="006807E4">
        <w:rPr>
          <w:lang w:val="fr-FR"/>
        </w:rPr>
        <w:t>François Dorléans · EngEthics Consulting · fdorleans@engethics.org</w:t>
      </w:r>
    </w:p>
    <w:p w14:paraId="595FD24A" w14:textId="77777777" w:rsidR="00386890" w:rsidRDefault="00000000">
      <w:pPr>
        <w:spacing w:after="160"/>
      </w:pPr>
      <w:r>
        <w:rPr>
          <w:b/>
          <w:bCs/>
        </w:rPr>
        <w:t xml:space="preserve">Status: </w:t>
      </w:r>
      <w:r>
        <w:t>Continuous-improvement / business-case reframing — working document, not a site-measured cost study</w:t>
      </w:r>
    </w:p>
    <w:p w14:paraId="4C1345E3" w14:textId="77777777" w:rsidR="00386890" w:rsidRDefault="00000000">
      <w:pPr>
        <w:spacing w:after="160"/>
      </w:pPr>
      <w:r>
        <w:rPr>
          <w:b/>
          <w:bCs/>
        </w:rPr>
        <w:t xml:space="preserve">Keywords: </w:t>
      </w:r>
      <w:r>
        <w:t>angle grinder, laser cleaning, continuous improvement, business case, ROI, utilization rate, HSE, HAVS, LGAC, contact lenses, drilling rig maintenance</w:t>
      </w:r>
    </w:p>
    <w:p w14:paraId="1A6CE99D" w14:textId="77777777" w:rsidR="00386890" w:rsidRDefault="00000000">
      <w:pPr>
        <w:spacing w:after="160"/>
      </w:pPr>
      <w:r>
        <w:rPr>
          <w:b/>
          <w:bCs/>
        </w:rPr>
        <w:t xml:space="preserve">Method: </w:t>
      </w:r>
      <w:r>
        <w:t>Evidence tagged (a) established / (b) plausible extrapolation / (c) working hypothesis; no invented figures; unverified claims flagged [UNCONFIRMED]</w:t>
      </w:r>
    </w:p>
    <w:p w14:paraId="5F4ADED6" w14:textId="6EC69DB7" w:rsidR="00386890" w:rsidRDefault="00000000">
      <w:pPr>
        <w:spacing w:after="160"/>
      </w:pPr>
      <w:r>
        <w:rPr>
          <w:b/>
          <w:bCs/>
        </w:rPr>
        <w:t xml:space="preserve">Proposed publication: </w:t>
      </w:r>
      <w:r>
        <w:t xml:space="preserve">EngEthics — drilling / tooling section (primary); short HSE excerpt possible for </w:t>
      </w:r>
      <w:r w:rsidR="006807E4">
        <w:t xml:space="preserve">Stichting </w:t>
      </w:r>
      <w:proofErr w:type="spellStart"/>
      <w:r>
        <w:t>Yiha</w:t>
      </w:r>
      <w:proofErr w:type="spellEnd"/>
    </w:p>
    <w:p w14:paraId="5653976D" w14:textId="77777777" w:rsidR="00386890" w:rsidRDefault="00386890">
      <w:pPr>
        <w:sectPr w:rsidR="00386890">
          <w:pgSz w:w="11906" w:h="16838"/>
          <w:pgMar w:top="449" w:right="449" w:bottom="449" w:left="449" w:header="708" w:footer="708" w:gutter="0"/>
          <w:cols w:space="720"/>
          <w:titlePg/>
          <w:docGrid w:linePitch="360"/>
        </w:sectPr>
      </w:pPr>
    </w:p>
    <w:p w14:paraId="5FE508B6" w14:textId="77777777" w:rsidR="00386890" w:rsidRDefault="00000000">
      <w:pPr>
        <w:pStyle w:val="Heading1"/>
        <w:spacing w:after="240"/>
      </w:pPr>
      <w:bookmarkStart w:id="0" w:name="_Toc240012139"/>
      <w:r>
        <w:rPr>
          <w:b/>
          <w:bCs/>
          <w:sz w:val="28"/>
          <w:szCs w:val="28"/>
        </w:rPr>
        <w:lastRenderedPageBreak/>
        <w:t>Revision History</w:t>
      </w:r>
      <w:bookmarkEnd w:id="0"/>
    </w:p>
    <w:p w14:paraId="708C1F55" w14:textId="77777777" w:rsidR="00386890" w:rsidRDefault="00000000">
      <w:pPr>
        <w:spacing w:after="160"/>
      </w:pPr>
      <w:r>
        <w:t xml:space="preserve">Revision 01 — Initial French memo: angle grinders vs. Needle® </w:t>
      </w:r>
      <w:proofErr w:type="spellStart"/>
      <w:r>
        <w:t>Netalux</w:t>
      </w:r>
      <w:proofErr w:type="spellEnd"/>
      <w:r>
        <w:t xml:space="preserve"> laser cleaning, five-year comparative framework.</w:t>
      </w:r>
    </w:p>
    <w:p w14:paraId="4A9AEB53" w14:textId="77777777" w:rsidR="00386890" w:rsidRDefault="00000000">
      <w:pPr>
        <w:spacing w:after="160"/>
      </w:pPr>
      <w:r>
        <w:t>Revision 02 — Added precision on the contact-lens desiccation risk under laser/IR exposure.</w:t>
      </w:r>
    </w:p>
    <w:p w14:paraId="3442BB20" w14:textId="77777777" w:rsidR="00386890" w:rsidRDefault="00000000">
      <w:pPr>
        <w:spacing w:after="160"/>
      </w:pPr>
      <w:r>
        <w:t>Revision 04 — Full EngEthics/Grok documentary methodology applied: (a)/(b)/(c) evidence tagging, contact-lens mythology review, acronym glossary, complete reference list.</w:t>
      </w:r>
    </w:p>
    <w:p w14:paraId="7F118AA5" w14:textId="77777777" w:rsidR="00386890" w:rsidRDefault="00000000">
      <w:pPr>
        <w:spacing w:after="160"/>
      </w:pPr>
      <w:r>
        <w:t xml:space="preserve">Revision 05-C — English translation; reframed under a continuous-improvement methodology with a dedicated business-case section; explicit vendor-neutrality disclaimer added regarding </w:t>
      </w:r>
      <w:proofErr w:type="spellStart"/>
      <w:r>
        <w:t>Netalux</w:t>
      </w:r>
      <w:proofErr w:type="spellEnd"/>
      <w:r>
        <w:t>; rig designations anonymized ("two rigs", no unit numbers); utilization intensity established as the primary ROI driver. (Claude)</w:t>
      </w:r>
    </w:p>
    <w:p w14:paraId="3EFEC9B5" w14:textId="4E51A9E5" w:rsidR="00386890" w:rsidRDefault="00000000" w:rsidP="006807E4">
      <w:pPr>
        <w:spacing w:after="160"/>
        <w:sectPr w:rsidR="00386890">
          <w:pgSz w:w="11906" w:h="16838"/>
          <w:pgMar w:top="449" w:right="449" w:bottom="449" w:left="449" w:header="708" w:footer="708" w:gutter="0"/>
          <w:cols w:space="720"/>
          <w:docGrid w:linePitch="360"/>
        </w:sectPr>
      </w:pPr>
      <w:r>
        <w:rPr>
          <w:i/>
          <w:iCs/>
          <w:sz w:val="17"/>
          <w:szCs w:val="17"/>
        </w:rPr>
        <w:t>No prior entry has been removed; this history is cumulative.</w:t>
      </w:r>
    </w:p>
    <w:p w14:paraId="1C59250D" w14:textId="2DEF9A99" w:rsidR="00386890" w:rsidRDefault="00386890"/>
    <w:p w14:paraId="22EF1B8C" w14:textId="77777777" w:rsidR="00386890" w:rsidRDefault="00000000">
      <w:pPr>
        <w:pStyle w:val="Heading1"/>
        <w:spacing w:before="360" w:after="200"/>
      </w:pPr>
      <w:bookmarkStart w:id="1" w:name="_Toc240012140"/>
      <w:r>
        <w:rPr>
          <w:b/>
          <w:bCs/>
          <w:sz w:val="26"/>
          <w:szCs w:val="26"/>
        </w:rPr>
        <w:t>0. Editorial Note — Continuous-Improvement Framing and Vendor Neutrality</w:t>
      </w:r>
      <w:bookmarkEnd w:id="1"/>
    </w:p>
    <w:p w14:paraId="4A0089B3" w14:textId="77777777" w:rsidR="00386890" w:rsidRDefault="00000000">
      <w:pPr>
        <w:spacing w:after="160"/>
      </w:pPr>
      <w:r>
        <w:t>This document is an internal continuous-improvement working paper. It is not sponsored, reviewed, or endorsed by any equipment manufacturer, and it does not constitute a commercial recommendation.</w:t>
      </w:r>
    </w:p>
    <w:p w14:paraId="11AF6894" w14:textId="77777777" w:rsidR="00386890" w:rsidRDefault="00000000">
      <w:pPr>
        <w:spacing w:after="160"/>
      </w:pPr>
      <w:r>
        <w:rPr>
          <w:b/>
          <w:bCs/>
        </w:rPr>
        <w:t xml:space="preserve">Vendor-neutrality disclaimer. </w:t>
      </w:r>
      <w:proofErr w:type="spellStart"/>
      <w:r>
        <w:t>Netalux</w:t>
      </w:r>
      <w:proofErr w:type="spellEnd"/>
      <w:r>
        <w:t xml:space="preserve"> and its Needle® laser-cleaning product line are referenced throughout this document solely as a publicly documented, leading-edge European example of industrial </w:t>
      </w:r>
      <w:proofErr w:type="spellStart"/>
      <w:r>
        <w:t>fiber</w:t>
      </w:r>
      <w:proofErr w:type="spellEnd"/>
      <w:r>
        <w:t xml:space="preserve">-laser cleaning technology. The author holds </w:t>
      </w:r>
      <w:r>
        <w:rPr>
          <w:b/>
          <w:bCs/>
        </w:rPr>
        <w:t>no economic, financial, contractual, or commercial interest</w:t>
      </w:r>
      <w:r>
        <w:t xml:space="preserve"> in </w:t>
      </w:r>
      <w:proofErr w:type="spellStart"/>
      <w:r>
        <w:t>Netalux</w:t>
      </w:r>
      <w:proofErr w:type="spellEnd"/>
      <w:r>
        <w:t xml:space="preserve">, its distributors, or any competing laser-cleaning vendor, and is </w:t>
      </w:r>
      <w:r>
        <w:rPr>
          <w:b/>
          <w:bCs/>
        </w:rPr>
        <w:t xml:space="preserve">not mandated, sponsored, or authorized by </w:t>
      </w:r>
      <w:proofErr w:type="spellStart"/>
      <w:r>
        <w:rPr>
          <w:b/>
          <w:bCs/>
        </w:rPr>
        <w:t>Netalux</w:t>
      </w:r>
      <w:proofErr w:type="spellEnd"/>
      <w:r>
        <w:t xml:space="preserve"> to represent, endorse, or speak on the company's behalf. All specifications cited are drawn from </w:t>
      </w:r>
      <w:proofErr w:type="spellStart"/>
      <w:r>
        <w:t>Netalux's</w:t>
      </w:r>
      <w:proofErr w:type="spellEnd"/>
      <w:r>
        <w:t xml:space="preserve"> own public product page and are marked accordingly; no vendor-supplied commercial or confidential data were used. Any other laser-cleaning system with equivalent technical characteristics (pulsed </w:t>
      </w:r>
      <w:proofErr w:type="spellStart"/>
      <w:r>
        <w:t>fiber</w:t>
      </w:r>
      <w:proofErr w:type="spellEnd"/>
      <w:r>
        <w:t xml:space="preserve"> laser, Class 4, comparable duty cycle and extraction performance) would support the same continuous-improvement and business-case reasoning developed here — </w:t>
      </w:r>
      <w:proofErr w:type="spellStart"/>
      <w:r>
        <w:t>Netalux</w:t>
      </w:r>
      <w:proofErr w:type="spellEnd"/>
      <w:r>
        <w:t xml:space="preserve"> is an illustration, not a recommendation.</w:t>
      </w:r>
    </w:p>
    <w:p w14:paraId="114BB35C" w14:textId="77777777" w:rsidR="00386890" w:rsidRDefault="00000000">
      <w:pPr>
        <w:spacing w:after="160"/>
      </w:pPr>
      <w:r>
        <w:t>For the same reason, the two rigs discussed below are described generically. No fleet or unit designation is used; the analysis concerns the surface-preparation task itself (rust, coatings, weld areas, access zones), which is transferable to comparable land rigs.</w:t>
      </w:r>
    </w:p>
    <w:p w14:paraId="202C8FBD" w14:textId="77777777" w:rsidR="00386890" w:rsidRDefault="00000000">
      <w:pPr>
        <w:pStyle w:val="Heading1"/>
        <w:spacing w:before="360" w:after="200"/>
      </w:pPr>
      <w:bookmarkStart w:id="2" w:name="_Toc240012141"/>
      <w:r>
        <w:rPr>
          <w:b/>
          <w:bCs/>
          <w:sz w:val="26"/>
          <w:szCs w:val="26"/>
        </w:rPr>
        <w:t>1. Executive Summary</w:t>
      </w:r>
      <w:bookmarkEnd w:id="2"/>
    </w:p>
    <w:p w14:paraId="68930BCA" w14:textId="77777777" w:rsidR="00386890" w:rsidRDefault="00000000">
      <w:pPr>
        <w:spacing w:after="160"/>
      </w:pPr>
      <w:r>
        <w:t>Surface cleaning and preparation on drilling rigs — descaling rust, removing coatings, preparing weld zones and access areas — is a recurring maintenance task, today carried out mostly with handheld angle grinders. Read through a continuous-improvement lens, this task is a standing source of waste: safety exposure (cuts, kickback, vibration, dust), rework from inconsistent surface quality, consumable spend, and downtime for incident management and PPE compliance.</w:t>
      </w:r>
    </w:p>
    <w:p w14:paraId="6C38452F" w14:textId="77777777" w:rsidR="00386890" w:rsidRDefault="00000000">
      <w:pPr>
        <w:spacing w:after="160"/>
      </w:pPr>
      <w:r>
        <w:t xml:space="preserve">Laser cleaning — illustrated here by the </w:t>
      </w:r>
      <w:proofErr w:type="spellStart"/>
      <w:r>
        <w:t>Netalux</w:t>
      </w:r>
      <w:proofErr w:type="spellEnd"/>
      <w:r>
        <w:t xml:space="preserve"> Needle® platform as a public, leading-edge European example — removes the rotating abrasive disc and its associated hazards, and can, if extraction is properly sized, substantially cut airborne dust exposure. It does not remove risk altogether: Class-4 laser hazards and laser-generated air contaminants (LGAC) replace mechanical hazards and must be actively managed.</w:t>
      </w:r>
    </w:p>
    <w:p w14:paraId="45C2FF21" w14:textId="77777777" w:rsidR="00386890" w:rsidRDefault="00000000">
      <w:pPr>
        <w:spacing w:after="160"/>
      </w:pPr>
      <w:r>
        <w:t xml:space="preserve">The central finding of this revision is methodological rather than financial: </w:t>
      </w:r>
      <w:r>
        <w:rPr>
          <w:b/>
          <w:bCs/>
          <w:i/>
          <w:iCs/>
        </w:rPr>
        <w:t>the economics of laser cleaning are driven overwhelmingly by utilization intensity.</w:t>
      </w:r>
      <w:r>
        <w:t xml:space="preserve"> A machine used occasionally, as a substitute tool kept in reserve for hard cases, will structurally fail to pay back its capital and training cost. The business case only closes when the tool is scheduled into near-continuous duty across the maintenance programs of both rigs — i.e., treated as standard equipment, not a specialty exception. Section 6 develops this argument and the scenario logic behind it.</w:t>
      </w:r>
    </w:p>
    <w:p w14:paraId="64C273C5" w14:textId="77777777" w:rsidR="00386890" w:rsidRDefault="00000000">
      <w:pPr>
        <w:spacing w:after="160"/>
      </w:pPr>
      <w:r>
        <w:t>No site-measured total cost of ownership (TCO) is presented — that data does not yet exist for this fleet. What follows is a rigorously sourced problem statement, an honest risk comparison, and a business-case framework designed to guide a chargeable pilot.</w:t>
      </w:r>
    </w:p>
    <w:p w14:paraId="12E04428" w14:textId="77777777" w:rsidR="00386890" w:rsidRDefault="00000000">
      <w:pPr>
        <w:pStyle w:val="Heading1"/>
        <w:spacing w:before="360" w:after="200"/>
      </w:pPr>
      <w:bookmarkStart w:id="3" w:name="_Toc240012142"/>
      <w:r>
        <w:rPr>
          <w:b/>
          <w:bCs/>
          <w:sz w:val="26"/>
          <w:szCs w:val="26"/>
        </w:rPr>
        <w:t>2. Problem Statement — Angle Grinding as a Source of Waste</w:t>
      </w:r>
      <w:bookmarkEnd w:id="3"/>
    </w:p>
    <w:p w14:paraId="40A3621C" w14:textId="77777777" w:rsidR="00386890" w:rsidRDefault="00000000">
      <w:pPr>
        <w:spacing w:after="160"/>
      </w:pPr>
      <w:r>
        <w:t>In continuous-improvement terms, the current state (angle grinding) can be described as a stable process with well-documented, chronic waste streams rather than a single acute failure. None of the following facts is new or alarming in isolation; together they describe a maintenance task that has never been re-examined as a whole:</w:t>
      </w:r>
    </w:p>
    <w:p w14:paraId="56F7B31F" w14:textId="77777777" w:rsidR="00386890" w:rsidRDefault="00000000">
      <w:pPr>
        <w:spacing w:after="160"/>
      </w:pPr>
      <w:r>
        <w:t>• Safety waste: angle grinders are consistently ranked among the most hazardous portable tools in independent national statistics (Section 4) — projections, kickback, hand-arm vibration syndrome (HAVS), and silica/metal dust.</w:t>
      </w:r>
    </w:p>
    <w:p w14:paraId="779F9C20" w14:textId="77777777" w:rsidR="00386890" w:rsidRDefault="00000000">
      <w:pPr>
        <w:spacing w:after="160"/>
      </w:pPr>
      <w:r>
        <w:t xml:space="preserve">• Quality waste: abrasive removal is not selective; it risks removing sound substrate along with the target </w:t>
      </w:r>
      <w:proofErr w:type="gramStart"/>
      <w:r>
        <w:t>layer, and</w:t>
      </w:r>
      <w:proofErr w:type="gramEnd"/>
      <w:r>
        <w:t xml:space="preserve"> can cross-contaminate adjacent surfaces.</w:t>
      </w:r>
    </w:p>
    <w:p w14:paraId="41357F18" w14:textId="77777777" w:rsidR="00386890" w:rsidRDefault="00000000">
      <w:pPr>
        <w:spacing w:after="160"/>
      </w:pPr>
      <w:r>
        <w:t>• Compliance and administrative waste: rotating abrasive tools carry a standing competence and maintenance burden (PUWER-equivalent frameworks, periodic refresher training, guard inspection).</w:t>
      </w:r>
    </w:p>
    <w:p w14:paraId="3C59A525" w14:textId="77777777" w:rsidR="00386890" w:rsidRDefault="00000000">
      <w:pPr>
        <w:spacing w:after="160"/>
      </w:pPr>
      <w:r>
        <w:t>• Consumable and downtime waste: discs, confinement of dust, incident handling, and PPE turnover are recurring, if individually modest, cost lines.</w:t>
      </w:r>
    </w:p>
    <w:p w14:paraId="562145B8" w14:textId="77777777" w:rsidR="00386890" w:rsidRDefault="00000000">
      <w:pPr>
        <w:spacing w:after="160"/>
      </w:pPr>
      <w:r>
        <w:lastRenderedPageBreak/>
        <w:t>The working hypothesis of this memo is that a substitution — partial or full — by laser cleaning, paired with disciplined training and a properly sized extraction system, is a credible countermeasure to this waste profile. Section 6 is explicit that this hypothesis becomes a real business case only under sustained utilization, not as a one-off equipment swap.</w:t>
      </w:r>
    </w:p>
    <w:p w14:paraId="557C9668" w14:textId="77777777" w:rsidR="00386890" w:rsidRDefault="00000000">
      <w:pPr>
        <w:pStyle w:val="Heading1"/>
        <w:spacing w:before="360" w:after="200"/>
      </w:pPr>
      <w:bookmarkStart w:id="4" w:name="_Toc240012143"/>
      <w:r>
        <w:rPr>
          <w:b/>
          <w:bCs/>
          <w:sz w:val="26"/>
          <w:szCs w:val="26"/>
        </w:rPr>
        <w:t>3. Technical Scope</w:t>
      </w:r>
      <w:bookmarkEnd w:id="4"/>
    </w:p>
    <w:p w14:paraId="27A30992" w14:textId="77777777" w:rsidR="00386890" w:rsidRDefault="00000000">
      <w:pPr>
        <w:pStyle w:val="Heading2"/>
        <w:spacing w:before="260" w:after="140"/>
      </w:pPr>
      <w:bookmarkStart w:id="5" w:name="_Toc240012144"/>
      <w:r>
        <w:rPr>
          <w:b/>
          <w:bCs/>
          <w:sz w:val="23"/>
          <w:szCs w:val="23"/>
        </w:rPr>
        <w:t>3.1 Two rigs — surface-preparation tasks</w:t>
      </w:r>
      <w:bookmarkEnd w:id="5"/>
    </w:p>
    <w:p w14:paraId="34B2EE32" w14:textId="77777777" w:rsidR="00386890" w:rsidRDefault="00000000">
      <w:pPr>
        <w:spacing w:after="160"/>
      </w:pPr>
      <w:r>
        <w:t xml:space="preserve">The scope is two land drilling rigs of a recent generation (mast class in the region of 350 t, consistent with current operator fleets). This memo addresses only the </w:t>
      </w:r>
      <w:r>
        <w:rPr>
          <w:i/>
          <w:iCs/>
        </w:rPr>
        <w:t>surface cleaning and preparation</w:t>
      </w:r>
      <w:r>
        <w:t xml:space="preserve"> work performed on and around these rigs — rust, coatings, weld areas, access zones — not the drilling operation itself. No unit or fleet designation is used in this revision (see Section 0).</w:t>
      </w:r>
    </w:p>
    <w:p w14:paraId="4F68CAEE" w14:textId="77777777" w:rsidR="00386890" w:rsidRDefault="00000000">
      <w:pPr>
        <w:pStyle w:val="Heading2"/>
        <w:spacing w:before="260" w:after="140"/>
      </w:pPr>
      <w:bookmarkStart w:id="6" w:name="_Toc240012145"/>
      <w:r>
        <w:rPr>
          <w:b/>
          <w:bCs/>
          <w:sz w:val="23"/>
          <w:szCs w:val="23"/>
        </w:rPr>
        <w:t>3.2 Illustrative technology — Needle® (</w:t>
      </w:r>
      <w:proofErr w:type="spellStart"/>
      <w:r>
        <w:rPr>
          <w:b/>
          <w:bCs/>
          <w:sz w:val="23"/>
          <w:szCs w:val="23"/>
        </w:rPr>
        <w:t>Netalux</w:t>
      </w:r>
      <w:proofErr w:type="spellEnd"/>
      <w:r>
        <w:rPr>
          <w:b/>
          <w:bCs/>
          <w:sz w:val="23"/>
          <w:szCs w:val="23"/>
        </w:rPr>
        <w:t>), public manufacturer data</w:t>
      </w:r>
      <w:bookmarkEnd w:id="6"/>
    </w:p>
    <w:p w14:paraId="023DF357" w14:textId="77777777" w:rsidR="00386890" w:rsidRDefault="00000000">
      <w:pPr>
        <w:spacing w:after="160"/>
      </w:pPr>
      <w:r>
        <w:t xml:space="preserve">Source: </w:t>
      </w:r>
      <w:proofErr w:type="spellStart"/>
      <w:r>
        <w:t>Netalux</w:t>
      </w:r>
      <w:proofErr w:type="spellEnd"/>
      <w:r>
        <w:t xml:space="preserve"> public product page, https://netalux.com/product/needle/ — cited here purely as a technical illustration, per the disclaimer in Section 0.</w:t>
      </w:r>
    </w:p>
    <w:tbl>
      <w:tblPr>
        <w:tblW w:w="9600" w:type="dxa"/>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CellMar>
          <w:left w:w="10" w:type="dxa"/>
          <w:right w:w="10" w:type="dxa"/>
        </w:tblCellMar>
        <w:tblLook w:val="0000" w:firstRow="0" w:lastRow="0" w:firstColumn="0" w:lastColumn="0" w:noHBand="0" w:noVBand="0"/>
      </w:tblPr>
      <w:tblGrid>
        <w:gridCol w:w="3028"/>
        <w:gridCol w:w="1881"/>
        <w:gridCol w:w="1706"/>
        <w:gridCol w:w="2985"/>
      </w:tblGrid>
      <w:tr w:rsidR="00386890" w14:paraId="6F132C71" w14:textId="77777777">
        <w:tblPrEx>
          <w:tblCellMar>
            <w:top w:w="0" w:type="dxa"/>
            <w:bottom w:w="0" w:type="dxa"/>
          </w:tblCellMar>
        </w:tblPrEx>
        <w:tc>
          <w:tcPr>
            <w:tcW w:w="0" w:type="auto"/>
            <w:shd w:val="clear" w:color="auto" w:fill="E8E8E8"/>
            <w:tcMar>
              <w:top w:w="60" w:type="dxa"/>
              <w:left w:w="100" w:type="dxa"/>
              <w:bottom w:w="60" w:type="dxa"/>
              <w:right w:w="100" w:type="dxa"/>
            </w:tcMar>
            <w:vAlign w:val="center"/>
          </w:tcPr>
          <w:p w14:paraId="1DAD1325" w14:textId="77777777" w:rsidR="00386890" w:rsidRDefault="00000000">
            <w:r>
              <w:rPr>
                <w:b/>
                <w:bCs/>
                <w:sz w:val="17"/>
                <w:szCs w:val="17"/>
              </w:rPr>
              <w:t>Parameter</w:t>
            </w:r>
          </w:p>
        </w:tc>
        <w:tc>
          <w:tcPr>
            <w:tcW w:w="0" w:type="auto"/>
            <w:shd w:val="clear" w:color="auto" w:fill="E8E8E8"/>
            <w:tcMar>
              <w:top w:w="60" w:type="dxa"/>
              <w:left w:w="100" w:type="dxa"/>
              <w:bottom w:w="60" w:type="dxa"/>
              <w:right w:w="100" w:type="dxa"/>
            </w:tcMar>
            <w:vAlign w:val="center"/>
          </w:tcPr>
          <w:p w14:paraId="13C43150" w14:textId="77777777" w:rsidR="00386890" w:rsidRDefault="00000000">
            <w:r>
              <w:rPr>
                <w:b/>
                <w:bCs/>
                <w:sz w:val="17"/>
                <w:szCs w:val="17"/>
              </w:rPr>
              <w:t>Needle 100/150</w:t>
            </w:r>
          </w:p>
        </w:tc>
        <w:tc>
          <w:tcPr>
            <w:tcW w:w="0" w:type="auto"/>
            <w:shd w:val="clear" w:color="auto" w:fill="E8E8E8"/>
            <w:tcMar>
              <w:top w:w="60" w:type="dxa"/>
              <w:left w:w="100" w:type="dxa"/>
              <w:bottom w:w="60" w:type="dxa"/>
              <w:right w:w="100" w:type="dxa"/>
            </w:tcMar>
            <w:vAlign w:val="center"/>
          </w:tcPr>
          <w:p w14:paraId="68A47D63" w14:textId="77777777" w:rsidR="00386890" w:rsidRDefault="00000000">
            <w:r>
              <w:rPr>
                <w:b/>
                <w:bCs/>
                <w:sz w:val="17"/>
                <w:szCs w:val="17"/>
              </w:rPr>
              <w:t>Needle 200/300</w:t>
            </w:r>
          </w:p>
        </w:tc>
        <w:tc>
          <w:tcPr>
            <w:tcW w:w="0" w:type="auto"/>
            <w:shd w:val="clear" w:color="auto" w:fill="E8E8E8"/>
            <w:tcMar>
              <w:top w:w="60" w:type="dxa"/>
              <w:left w:w="100" w:type="dxa"/>
              <w:bottom w:w="60" w:type="dxa"/>
              <w:right w:w="100" w:type="dxa"/>
            </w:tcMar>
            <w:vAlign w:val="center"/>
          </w:tcPr>
          <w:p w14:paraId="096B2911" w14:textId="77777777" w:rsidR="00386890" w:rsidRDefault="00000000">
            <w:r>
              <w:rPr>
                <w:b/>
                <w:bCs/>
                <w:sz w:val="17"/>
                <w:szCs w:val="17"/>
              </w:rPr>
              <w:t>Status</w:t>
            </w:r>
          </w:p>
        </w:tc>
      </w:tr>
      <w:tr w:rsidR="00386890" w14:paraId="7B0CB5E0" w14:textId="77777777">
        <w:tblPrEx>
          <w:tblCellMar>
            <w:top w:w="0" w:type="dxa"/>
            <w:bottom w:w="0" w:type="dxa"/>
          </w:tblCellMar>
        </w:tblPrEx>
        <w:tc>
          <w:tcPr>
            <w:tcW w:w="0" w:type="auto"/>
            <w:tcMar>
              <w:top w:w="60" w:type="dxa"/>
              <w:left w:w="100" w:type="dxa"/>
              <w:bottom w:w="60" w:type="dxa"/>
              <w:right w:w="100" w:type="dxa"/>
            </w:tcMar>
            <w:vAlign w:val="center"/>
          </w:tcPr>
          <w:p w14:paraId="4D9CDEE4" w14:textId="77777777" w:rsidR="00386890" w:rsidRDefault="00000000">
            <w:r>
              <w:rPr>
                <w:sz w:val="17"/>
                <w:szCs w:val="17"/>
              </w:rPr>
              <w:t>Laser type</w:t>
            </w:r>
          </w:p>
        </w:tc>
        <w:tc>
          <w:tcPr>
            <w:tcW w:w="0" w:type="auto"/>
            <w:tcMar>
              <w:top w:w="60" w:type="dxa"/>
              <w:left w:w="100" w:type="dxa"/>
              <w:bottom w:w="60" w:type="dxa"/>
              <w:right w:w="100" w:type="dxa"/>
            </w:tcMar>
            <w:vAlign w:val="center"/>
          </w:tcPr>
          <w:p w14:paraId="161FA3A0" w14:textId="77777777" w:rsidR="00386890" w:rsidRDefault="00000000">
            <w:r>
              <w:rPr>
                <w:sz w:val="17"/>
                <w:szCs w:val="17"/>
              </w:rPr>
              <w:t xml:space="preserve">Pulsed Yb </w:t>
            </w:r>
            <w:proofErr w:type="spellStart"/>
            <w:r>
              <w:rPr>
                <w:sz w:val="17"/>
                <w:szCs w:val="17"/>
              </w:rPr>
              <w:t>fiber</w:t>
            </w:r>
            <w:proofErr w:type="spellEnd"/>
            <w:r>
              <w:rPr>
                <w:sz w:val="17"/>
                <w:szCs w:val="17"/>
              </w:rPr>
              <w:t>, ns</w:t>
            </w:r>
          </w:p>
        </w:tc>
        <w:tc>
          <w:tcPr>
            <w:tcW w:w="0" w:type="auto"/>
            <w:tcMar>
              <w:top w:w="60" w:type="dxa"/>
              <w:left w:w="100" w:type="dxa"/>
              <w:bottom w:w="60" w:type="dxa"/>
              <w:right w:w="100" w:type="dxa"/>
            </w:tcMar>
            <w:vAlign w:val="center"/>
          </w:tcPr>
          <w:p w14:paraId="56D4FFF3" w14:textId="77777777" w:rsidR="00386890" w:rsidRDefault="00000000">
            <w:r>
              <w:rPr>
                <w:sz w:val="17"/>
                <w:szCs w:val="17"/>
              </w:rPr>
              <w:t>Same</w:t>
            </w:r>
          </w:p>
        </w:tc>
        <w:tc>
          <w:tcPr>
            <w:tcW w:w="0" w:type="auto"/>
            <w:tcMar>
              <w:top w:w="60" w:type="dxa"/>
              <w:left w:w="100" w:type="dxa"/>
              <w:bottom w:w="60" w:type="dxa"/>
              <w:right w:w="100" w:type="dxa"/>
            </w:tcMar>
            <w:vAlign w:val="center"/>
          </w:tcPr>
          <w:p w14:paraId="446BEA6A" w14:textId="77777777" w:rsidR="00386890" w:rsidRDefault="00000000">
            <w:r>
              <w:rPr>
                <w:sz w:val="17"/>
                <w:szCs w:val="17"/>
              </w:rPr>
              <w:t>(a) manufacturer</w:t>
            </w:r>
          </w:p>
        </w:tc>
      </w:tr>
      <w:tr w:rsidR="00386890" w14:paraId="2B98512D" w14:textId="77777777">
        <w:tblPrEx>
          <w:tblCellMar>
            <w:top w:w="0" w:type="dxa"/>
            <w:bottom w:w="0" w:type="dxa"/>
          </w:tblCellMar>
        </w:tblPrEx>
        <w:tc>
          <w:tcPr>
            <w:tcW w:w="0" w:type="auto"/>
            <w:tcMar>
              <w:top w:w="60" w:type="dxa"/>
              <w:left w:w="100" w:type="dxa"/>
              <w:bottom w:w="60" w:type="dxa"/>
              <w:right w:w="100" w:type="dxa"/>
            </w:tcMar>
            <w:vAlign w:val="center"/>
          </w:tcPr>
          <w:p w14:paraId="31AA5C9E" w14:textId="77777777" w:rsidR="00386890" w:rsidRDefault="00000000">
            <w:r>
              <w:rPr>
                <w:sz w:val="17"/>
                <w:szCs w:val="17"/>
              </w:rPr>
              <w:t>Wavelength</w:t>
            </w:r>
          </w:p>
        </w:tc>
        <w:tc>
          <w:tcPr>
            <w:tcW w:w="0" w:type="auto"/>
            <w:tcMar>
              <w:top w:w="60" w:type="dxa"/>
              <w:left w:w="100" w:type="dxa"/>
              <w:bottom w:w="60" w:type="dxa"/>
              <w:right w:w="100" w:type="dxa"/>
            </w:tcMar>
            <w:vAlign w:val="center"/>
          </w:tcPr>
          <w:p w14:paraId="6FAFF82E" w14:textId="77777777" w:rsidR="00386890" w:rsidRDefault="00000000">
            <w:r>
              <w:rPr>
                <w:sz w:val="17"/>
                <w:szCs w:val="17"/>
              </w:rPr>
              <w:t>1064 nm</w:t>
            </w:r>
          </w:p>
        </w:tc>
        <w:tc>
          <w:tcPr>
            <w:tcW w:w="0" w:type="auto"/>
            <w:tcMar>
              <w:top w:w="60" w:type="dxa"/>
              <w:left w:w="100" w:type="dxa"/>
              <w:bottom w:w="60" w:type="dxa"/>
              <w:right w:w="100" w:type="dxa"/>
            </w:tcMar>
            <w:vAlign w:val="center"/>
          </w:tcPr>
          <w:p w14:paraId="4CD0F44C" w14:textId="77777777" w:rsidR="00386890" w:rsidRDefault="00000000">
            <w:r>
              <w:rPr>
                <w:sz w:val="17"/>
                <w:szCs w:val="17"/>
              </w:rPr>
              <w:t>1064 nm</w:t>
            </w:r>
          </w:p>
        </w:tc>
        <w:tc>
          <w:tcPr>
            <w:tcW w:w="0" w:type="auto"/>
            <w:tcMar>
              <w:top w:w="60" w:type="dxa"/>
              <w:left w:w="100" w:type="dxa"/>
              <w:bottom w:w="60" w:type="dxa"/>
              <w:right w:w="100" w:type="dxa"/>
            </w:tcMar>
            <w:vAlign w:val="center"/>
          </w:tcPr>
          <w:p w14:paraId="0738DD8E" w14:textId="77777777" w:rsidR="00386890" w:rsidRDefault="00000000">
            <w:r>
              <w:rPr>
                <w:sz w:val="17"/>
                <w:szCs w:val="17"/>
              </w:rPr>
              <w:t>(a)</w:t>
            </w:r>
          </w:p>
        </w:tc>
      </w:tr>
      <w:tr w:rsidR="00386890" w14:paraId="5C195450" w14:textId="77777777">
        <w:tblPrEx>
          <w:tblCellMar>
            <w:top w:w="0" w:type="dxa"/>
            <w:bottom w:w="0" w:type="dxa"/>
          </w:tblCellMar>
        </w:tblPrEx>
        <w:tc>
          <w:tcPr>
            <w:tcW w:w="0" w:type="auto"/>
            <w:tcMar>
              <w:top w:w="60" w:type="dxa"/>
              <w:left w:w="100" w:type="dxa"/>
              <w:bottom w:w="60" w:type="dxa"/>
              <w:right w:w="100" w:type="dxa"/>
            </w:tcMar>
            <w:vAlign w:val="center"/>
          </w:tcPr>
          <w:p w14:paraId="0D6EF4DB" w14:textId="77777777" w:rsidR="00386890" w:rsidRDefault="00000000">
            <w:r>
              <w:rPr>
                <w:sz w:val="17"/>
                <w:szCs w:val="17"/>
              </w:rPr>
              <w:t>Laser class</w:t>
            </w:r>
          </w:p>
        </w:tc>
        <w:tc>
          <w:tcPr>
            <w:tcW w:w="0" w:type="auto"/>
            <w:tcMar>
              <w:top w:w="60" w:type="dxa"/>
              <w:left w:w="100" w:type="dxa"/>
              <w:bottom w:w="60" w:type="dxa"/>
              <w:right w:w="100" w:type="dxa"/>
            </w:tcMar>
            <w:vAlign w:val="center"/>
          </w:tcPr>
          <w:p w14:paraId="74B4304D" w14:textId="77777777" w:rsidR="00386890" w:rsidRDefault="00000000">
            <w:r>
              <w:rPr>
                <w:sz w:val="17"/>
                <w:szCs w:val="17"/>
              </w:rPr>
              <w:t>4</w:t>
            </w:r>
          </w:p>
        </w:tc>
        <w:tc>
          <w:tcPr>
            <w:tcW w:w="0" w:type="auto"/>
            <w:tcMar>
              <w:top w:w="60" w:type="dxa"/>
              <w:left w:w="100" w:type="dxa"/>
              <w:bottom w:w="60" w:type="dxa"/>
              <w:right w:w="100" w:type="dxa"/>
            </w:tcMar>
            <w:vAlign w:val="center"/>
          </w:tcPr>
          <w:p w14:paraId="3FADE366" w14:textId="77777777" w:rsidR="00386890" w:rsidRDefault="00000000">
            <w:r>
              <w:rPr>
                <w:sz w:val="17"/>
                <w:szCs w:val="17"/>
              </w:rPr>
              <w:t>4</w:t>
            </w:r>
          </w:p>
        </w:tc>
        <w:tc>
          <w:tcPr>
            <w:tcW w:w="0" w:type="auto"/>
            <w:tcMar>
              <w:top w:w="60" w:type="dxa"/>
              <w:left w:w="100" w:type="dxa"/>
              <w:bottom w:w="60" w:type="dxa"/>
              <w:right w:w="100" w:type="dxa"/>
            </w:tcMar>
            <w:vAlign w:val="center"/>
          </w:tcPr>
          <w:p w14:paraId="0CF9896A" w14:textId="77777777" w:rsidR="00386890" w:rsidRDefault="00000000">
            <w:r>
              <w:rPr>
                <w:sz w:val="17"/>
                <w:szCs w:val="17"/>
              </w:rPr>
              <w:t>(a)</w:t>
            </w:r>
          </w:p>
        </w:tc>
      </w:tr>
      <w:tr w:rsidR="00386890" w14:paraId="6760FDA0" w14:textId="77777777">
        <w:tblPrEx>
          <w:tblCellMar>
            <w:top w:w="0" w:type="dxa"/>
            <w:bottom w:w="0" w:type="dxa"/>
          </w:tblCellMar>
        </w:tblPrEx>
        <w:tc>
          <w:tcPr>
            <w:tcW w:w="0" w:type="auto"/>
            <w:tcMar>
              <w:top w:w="60" w:type="dxa"/>
              <w:left w:w="100" w:type="dxa"/>
              <w:bottom w:w="60" w:type="dxa"/>
              <w:right w:w="100" w:type="dxa"/>
            </w:tcMar>
            <w:vAlign w:val="center"/>
          </w:tcPr>
          <w:p w14:paraId="52C472BA" w14:textId="77777777" w:rsidR="00386890" w:rsidRDefault="00000000">
            <w:r>
              <w:rPr>
                <w:sz w:val="17"/>
                <w:szCs w:val="17"/>
              </w:rPr>
              <w:t>Average power</w:t>
            </w:r>
          </w:p>
        </w:tc>
        <w:tc>
          <w:tcPr>
            <w:tcW w:w="0" w:type="auto"/>
            <w:tcMar>
              <w:top w:w="60" w:type="dxa"/>
              <w:left w:w="100" w:type="dxa"/>
              <w:bottom w:w="60" w:type="dxa"/>
              <w:right w:w="100" w:type="dxa"/>
            </w:tcMar>
            <w:vAlign w:val="center"/>
          </w:tcPr>
          <w:p w14:paraId="55723877" w14:textId="77777777" w:rsidR="00386890" w:rsidRDefault="00000000">
            <w:r>
              <w:rPr>
                <w:sz w:val="17"/>
                <w:szCs w:val="17"/>
              </w:rPr>
              <w:t>100 / 150 W</w:t>
            </w:r>
          </w:p>
        </w:tc>
        <w:tc>
          <w:tcPr>
            <w:tcW w:w="0" w:type="auto"/>
            <w:tcMar>
              <w:top w:w="60" w:type="dxa"/>
              <w:left w:w="100" w:type="dxa"/>
              <w:bottom w:w="60" w:type="dxa"/>
              <w:right w:w="100" w:type="dxa"/>
            </w:tcMar>
            <w:vAlign w:val="center"/>
          </w:tcPr>
          <w:p w14:paraId="19ED007A" w14:textId="77777777" w:rsidR="00386890" w:rsidRDefault="00000000">
            <w:r>
              <w:rPr>
                <w:sz w:val="17"/>
                <w:szCs w:val="17"/>
              </w:rPr>
              <w:t>200 / 300 W</w:t>
            </w:r>
          </w:p>
        </w:tc>
        <w:tc>
          <w:tcPr>
            <w:tcW w:w="0" w:type="auto"/>
            <w:tcMar>
              <w:top w:w="60" w:type="dxa"/>
              <w:left w:w="100" w:type="dxa"/>
              <w:bottom w:w="60" w:type="dxa"/>
              <w:right w:w="100" w:type="dxa"/>
            </w:tcMar>
            <w:vAlign w:val="center"/>
          </w:tcPr>
          <w:p w14:paraId="34381A98" w14:textId="77777777" w:rsidR="00386890" w:rsidRDefault="00000000">
            <w:r>
              <w:rPr>
                <w:sz w:val="17"/>
                <w:szCs w:val="17"/>
              </w:rPr>
              <w:t>(a)</w:t>
            </w:r>
          </w:p>
        </w:tc>
      </w:tr>
      <w:tr w:rsidR="00386890" w14:paraId="3D2CDEBA" w14:textId="77777777">
        <w:tblPrEx>
          <w:tblCellMar>
            <w:top w:w="0" w:type="dxa"/>
            <w:bottom w:w="0" w:type="dxa"/>
          </w:tblCellMar>
        </w:tblPrEx>
        <w:tc>
          <w:tcPr>
            <w:tcW w:w="0" w:type="auto"/>
            <w:tcMar>
              <w:top w:w="60" w:type="dxa"/>
              <w:left w:w="100" w:type="dxa"/>
              <w:bottom w:w="60" w:type="dxa"/>
              <w:right w:w="100" w:type="dxa"/>
            </w:tcMar>
            <w:vAlign w:val="center"/>
          </w:tcPr>
          <w:p w14:paraId="0EEEDD1D" w14:textId="77777777" w:rsidR="00386890" w:rsidRDefault="00000000">
            <w:r>
              <w:rPr>
                <w:sz w:val="17"/>
                <w:szCs w:val="17"/>
              </w:rPr>
              <w:t>Approx. mass</w:t>
            </w:r>
          </w:p>
        </w:tc>
        <w:tc>
          <w:tcPr>
            <w:tcW w:w="0" w:type="auto"/>
            <w:tcMar>
              <w:top w:w="60" w:type="dxa"/>
              <w:left w:w="100" w:type="dxa"/>
              <w:bottom w:w="60" w:type="dxa"/>
              <w:right w:w="100" w:type="dxa"/>
            </w:tcMar>
            <w:vAlign w:val="center"/>
          </w:tcPr>
          <w:p w14:paraId="7CA549EB" w14:textId="77777777" w:rsidR="00386890" w:rsidRDefault="00000000">
            <w:r>
              <w:rPr>
                <w:sz w:val="17"/>
                <w:szCs w:val="17"/>
              </w:rPr>
              <w:t>~20 kg</w:t>
            </w:r>
          </w:p>
        </w:tc>
        <w:tc>
          <w:tcPr>
            <w:tcW w:w="0" w:type="auto"/>
            <w:tcMar>
              <w:top w:w="60" w:type="dxa"/>
              <w:left w:w="100" w:type="dxa"/>
              <w:bottom w:w="60" w:type="dxa"/>
              <w:right w:w="100" w:type="dxa"/>
            </w:tcMar>
            <w:vAlign w:val="center"/>
          </w:tcPr>
          <w:p w14:paraId="6C11B8E6" w14:textId="77777777" w:rsidR="00386890" w:rsidRDefault="00000000">
            <w:r>
              <w:rPr>
                <w:sz w:val="17"/>
                <w:szCs w:val="17"/>
              </w:rPr>
              <w:t>~43 kg</w:t>
            </w:r>
          </w:p>
        </w:tc>
        <w:tc>
          <w:tcPr>
            <w:tcW w:w="0" w:type="auto"/>
            <w:tcMar>
              <w:top w:w="60" w:type="dxa"/>
              <w:left w:w="100" w:type="dxa"/>
              <w:bottom w:w="60" w:type="dxa"/>
              <w:right w:w="100" w:type="dxa"/>
            </w:tcMar>
            <w:vAlign w:val="center"/>
          </w:tcPr>
          <w:p w14:paraId="7EEF4B68" w14:textId="77777777" w:rsidR="00386890" w:rsidRDefault="00000000">
            <w:r>
              <w:rPr>
                <w:sz w:val="17"/>
                <w:szCs w:val="17"/>
              </w:rPr>
              <w:t>(a)</w:t>
            </w:r>
          </w:p>
        </w:tc>
      </w:tr>
      <w:tr w:rsidR="00386890" w14:paraId="761D0381" w14:textId="77777777">
        <w:tblPrEx>
          <w:tblCellMar>
            <w:top w:w="0" w:type="dxa"/>
            <w:bottom w:w="0" w:type="dxa"/>
          </w:tblCellMar>
        </w:tblPrEx>
        <w:tc>
          <w:tcPr>
            <w:tcW w:w="0" w:type="auto"/>
            <w:tcMar>
              <w:top w:w="60" w:type="dxa"/>
              <w:left w:w="100" w:type="dxa"/>
              <w:bottom w:w="60" w:type="dxa"/>
              <w:right w:w="100" w:type="dxa"/>
            </w:tcMar>
            <w:vAlign w:val="center"/>
          </w:tcPr>
          <w:p w14:paraId="7D69487A" w14:textId="77777777" w:rsidR="00386890" w:rsidRDefault="00000000">
            <w:r>
              <w:rPr>
                <w:sz w:val="17"/>
                <w:szCs w:val="17"/>
              </w:rPr>
              <w:t>Extraction — rated flow / HEPA</w:t>
            </w:r>
          </w:p>
        </w:tc>
        <w:tc>
          <w:tcPr>
            <w:tcW w:w="0" w:type="auto"/>
            <w:tcMar>
              <w:top w:w="60" w:type="dxa"/>
              <w:left w:w="100" w:type="dxa"/>
              <w:bottom w:w="60" w:type="dxa"/>
              <w:right w:w="100" w:type="dxa"/>
            </w:tcMar>
            <w:vAlign w:val="center"/>
          </w:tcPr>
          <w:p w14:paraId="4B0E7864" w14:textId="77777777" w:rsidR="00386890" w:rsidRDefault="00000000">
            <w:r>
              <w:rPr>
                <w:sz w:val="17"/>
                <w:szCs w:val="17"/>
              </w:rPr>
              <w:t>Not published</w:t>
            </w:r>
          </w:p>
        </w:tc>
        <w:tc>
          <w:tcPr>
            <w:tcW w:w="0" w:type="auto"/>
            <w:tcMar>
              <w:top w:w="60" w:type="dxa"/>
              <w:left w:w="100" w:type="dxa"/>
              <w:bottom w:w="60" w:type="dxa"/>
              <w:right w:w="100" w:type="dxa"/>
            </w:tcMar>
            <w:vAlign w:val="center"/>
          </w:tcPr>
          <w:p w14:paraId="052D68C7" w14:textId="77777777" w:rsidR="00386890" w:rsidRDefault="00000000">
            <w:r>
              <w:rPr>
                <w:sz w:val="17"/>
                <w:szCs w:val="17"/>
              </w:rPr>
              <w:t>Not published</w:t>
            </w:r>
          </w:p>
        </w:tc>
        <w:tc>
          <w:tcPr>
            <w:tcW w:w="0" w:type="auto"/>
            <w:tcMar>
              <w:top w:w="60" w:type="dxa"/>
              <w:left w:w="100" w:type="dxa"/>
              <w:bottom w:w="60" w:type="dxa"/>
              <w:right w:w="100" w:type="dxa"/>
            </w:tcMar>
            <w:vAlign w:val="center"/>
          </w:tcPr>
          <w:p w14:paraId="3A19429B" w14:textId="77777777" w:rsidR="00386890" w:rsidRDefault="00000000">
            <w:r>
              <w:rPr>
                <w:sz w:val="17"/>
                <w:szCs w:val="17"/>
              </w:rPr>
              <w:t>[UNCONFIRMED — to request]</w:t>
            </w:r>
          </w:p>
        </w:tc>
      </w:tr>
    </w:tbl>
    <w:p w14:paraId="521C6BD7" w14:textId="77777777" w:rsidR="00386890" w:rsidRDefault="00000000">
      <w:pPr>
        <w:spacing w:after="160"/>
      </w:pPr>
      <w:r>
        <w:t>The manufacturer's claim of "captured contamination" is a marketing statement; rated extraction flow and filtration grade are not published on the product sheet and must be requested before any dust/fume claim is used in publication. In industrial practice, laser-generated air contaminants (LGAC) require extraction and filtration sized to the specific contaminant (lead or chromium-bearing paints, metal oxides, etc.).</w:t>
      </w:r>
    </w:p>
    <w:p w14:paraId="2761FA3D" w14:textId="77777777" w:rsidR="00386890" w:rsidRDefault="00000000">
      <w:pPr>
        <w:pStyle w:val="Heading1"/>
        <w:spacing w:before="360" w:after="200"/>
      </w:pPr>
      <w:bookmarkStart w:id="7" w:name="_Toc240012146"/>
      <w:r>
        <w:rPr>
          <w:b/>
          <w:bCs/>
          <w:sz w:val="26"/>
          <w:szCs w:val="26"/>
        </w:rPr>
        <w:t>4. Angle-Grinder Risk Evidence (Sourced)</w:t>
      </w:r>
      <w:bookmarkEnd w:id="7"/>
    </w:p>
    <w:p w14:paraId="74C9B58C" w14:textId="77777777" w:rsidR="00386890" w:rsidRDefault="00000000">
      <w:pPr>
        <w:pStyle w:val="Heading2"/>
        <w:spacing w:before="260" w:after="140"/>
      </w:pPr>
      <w:bookmarkStart w:id="8" w:name="_Toc240012147"/>
      <w:r>
        <w:rPr>
          <w:b/>
          <w:bCs/>
          <w:sz w:val="23"/>
          <w:szCs w:val="23"/>
        </w:rPr>
        <w:t>4.1 What is well established</w:t>
      </w:r>
      <w:bookmarkEnd w:id="8"/>
    </w:p>
    <w:p w14:paraId="7946AF52" w14:textId="77777777" w:rsidR="00386890" w:rsidRDefault="00000000">
      <w:pPr>
        <w:spacing w:after="160"/>
      </w:pPr>
      <w:r>
        <w:t>• UK (RoSPA HASS/LASS, early 2000s): angle grinders repeatedly cited as the third most hazardous handheld tool, on the order of 5,000–5,400 injuries/year in that national series — Carter et al., Head Face Med. 2008, DOI 10.1186/1746-160X-4-1; Soong et al., Trauma Case Rep. 2021, PMC7900576.</w:t>
      </w:r>
    </w:p>
    <w:p w14:paraId="27C0D98C" w14:textId="77777777" w:rsidR="00386890" w:rsidRDefault="00000000">
      <w:pPr>
        <w:spacing w:after="160"/>
      </w:pPr>
      <w:r>
        <w:t>• UK HSE: HSG17 (Safety in the use of abrasive wheels) covers wheel burst, contact injuries, dust, noise, and vibration. There is no dedicated annual RIDDOR series isolating "angle grinders" alone.</w:t>
      </w:r>
    </w:p>
    <w:p w14:paraId="2C6693F9" w14:textId="77777777" w:rsidR="00386890" w:rsidRDefault="00000000">
      <w:pPr>
        <w:spacing w:after="160"/>
      </w:pPr>
      <w:r>
        <w:t>• France (INRS): roughly 55,000 work-related machine injuries/year nationally; grinders/angle grinders are among the most harmful portable tools (noise + vibration + dust + cuts combined), without an isolated national figure for grinders alone.</w:t>
      </w:r>
    </w:p>
    <w:p w14:paraId="76476F33" w14:textId="77777777" w:rsidR="00386890" w:rsidRDefault="00000000">
      <w:pPr>
        <w:spacing w:after="160"/>
      </w:pPr>
      <w:r>
        <w:t>• Australia (WorkSafe WA/NT): angle grinders are flagged among the most hazardous tools, with kickback highlighted in specific safety alerts (e.g., 9-inch discs).</w:t>
      </w:r>
    </w:p>
    <w:p w14:paraId="2D81FD20" w14:textId="77777777" w:rsidR="00386890" w:rsidRDefault="00000000">
      <w:pPr>
        <w:spacing w:after="160"/>
      </w:pPr>
      <w:r>
        <w:t xml:space="preserve">• Documented mechanisms: disc burst/projection, cuts, kickback, noise, HAVS (UK HSE INDG175: exposure action value 2.5 m/s² </w:t>
      </w:r>
      <w:proofErr w:type="gramStart"/>
      <w:r>
        <w:t>A(</w:t>
      </w:r>
      <w:proofErr w:type="gramEnd"/>
      <w:r>
        <w:t>8), exposure limit value 5 m/s²), and silica or metal/paint dust from grinding concrete, stone, or coated surfaces.</w:t>
      </w:r>
    </w:p>
    <w:p w14:paraId="6ED8895E" w14:textId="77777777" w:rsidR="00386890" w:rsidRDefault="00000000">
      <w:pPr>
        <w:pStyle w:val="Heading2"/>
        <w:spacing w:before="260" w:after="140"/>
      </w:pPr>
      <w:bookmarkStart w:id="9" w:name="_Toc240012148"/>
      <w:r>
        <w:rPr>
          <w:b/>
          <w:bCs/>
          <w:sz w:val="23"/>
          <w:szCs w:val="23"/>
        </w:rPr>
        <w:t>4.2 What should not be recycled as a "global survey"</w:t>
      </w:r>
      <w:bookmarkEnd w:id="9"/>
    </w:p>
    <w:tbl>
      <w:tblPr>
        <w:tblW w:w="9600" w:type="dxa"/>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CellMar>
          <w:left w:w="10" w:type="dxa"/>
          <w:right w:w="10" w:type="dxa"/>
        </w:tblCellMar>
        <w:tblLook w:val="0000" w:firstRow="0" w:lastRow="0" w:firstColumn="0" w:lastColumn="0" w:noHBand="0" w:noVBand="0"/>
      </w:tblPr>
      <w:tblGrid>
        <w:gridCol w:w="3206"/>
        <w:gridCol w:w="6394"/>
      </w:tblGrid>
      <w:tr w:rsidR="00386890" w14:paraId="4F84AE23" w14:textId="77777777">
        <w:tblPrEx>
          <w:tblCellMar>
            <w:top w:w="0" w:type="dxa"/>
            <w:bottom w:w="0" w:type="dxa"/>
          </w:tblCellMar>
        </w:tblPrEx>
        <w:tc>
          <w:tcPr>
            <w:tcW w:w="0" w:type="auto"/>
            <w:shd w:val="clear" w:color="auto" w:fill="E8E8E8"/>
            <w:tcMar>
              <w:top w:w="60" w:type="dxa"/>
              <w:left w:w="100" w:type="dxa"/>
              <w:bottom w:w="60" w:type="dxa"/>
              <w:right w:w="100" w:type="dxa"/>
            </w:tcMar>
            <w:vAlign w:val="center"/>
          </w:tcPr>
          <w:p w14:paraId="041AC5B3" w14:textId="77777777" w:rsidR="00386890" w:rsidRDefault="00000000">
            <w:r>
              <w:rPr>
                <w:b/>
                <w:bCs/>
                <w:sz w:val="17"/>
                <w:szCs w:val="17"/>
              </w:rPr>
              <w:t>Common claim</w:t>
            </w:r>
          </w:p>
        </w:tc>
        <w:tc>
          <w:tcPr>
            <w:tcW w:w="0" w:type="auto"/>
            <w:shd w:val="clear" w:color="auto" w:fill="E8E8E8"/>
            <w:tcMar>
              <w:top w:w="60" w:type="dxa"/>
              <w:left w:w="100" w:type="dxa"/>
              <w:bottom w:w="60" w:type="dxa"/>
              <w:right w:w="100" w:type="dxa"/>
            </w:tcMar>
            <w:vAlign w:val="center"/>
          </w:tcPr>
          <w:p w14:paraId="121F22BF" w14:textId="77777777" w:rsidR="00386890" w:rsidRDefault="00000000">
            <w:r>
              <w:rPr>
                <w:b/>
                <w:bCs/>
                <w:sz w:val="17"/>
                <w:szCs w:val="17"/>
              </w:rPr>
              <w:t>Status</w:t>
            </w:r>
          </w:p>
        </w:tc>
      </w:tr>
      <w:tr w:rsidR="00386890" w14:paraId="1909975E" w14:textId="77777777">
        <w:tblPrEx>
          <w:tblCellMar>
            <w:top w:w="0" w:type="dxa"/>
            <w:bottom w:w="0" w:type="dxa"/>
          </w:tblCellMar>
        </w:tblPrEx>
        <w:tc>
          <w:tcPr>
            <w:tcW w:w="0" w:type="auto"/>
            <w:tcMar>
              <w:top w:w="60" w:type="dxa"/>
              <w:left w:w="100" w:type="dxa"/>
              <w:bottom w:w="60" w:type="dxa"/>
              <w:right w:w="100" w:type="dxa"/>
            </w:tcMar>
            <w:vAlign w:val="center"/>
          </w:tcPr>
          <w:p w14:paraId="301949C2" w14:textId="77777777" w:rsidR="00386890" w:rsidRDefault="00000000">
            <w:r>
              <w:rPr>
                <w:sz w:val="17"/>
                <w:szCs w:val="17"/>
              </w:rPr>
              <w:t>"5,400 injuries — global figure"</w:t>
            </w:r>
          </w:p>
        </w:tc>
        <w:tc>
          <w:tcPr>
            <w:tcW w:w="0" w:type="auto"/>
            <w:tcMar>
              <w:top w:w="60" w:type="dxa"/>
              <w:left w:w="100" w:type="dxa"/>
              <w:bottom w:w="60" w:type="dxa"/>
              <w:right w:w="100" w:type="dxa"/>
            </w:tcMar>
            <w:vAlign w:val="center"/>
          </w:tcPr>
          <w:p w14:paraId="552F7789" w14:textId="77777777" w:rsidR="00386890" w:rsidRDefault="00000000">
            <w:r>
              <w:rPr>
                <w:sz w:val="17"/>
                <w:szCs w:val="17"/>
              </w:rPr>
              <w:t>No — this is the UK RoSPA base rate, frequently recycled out of context</w:t>
            </w:r>
          </w:p>
        </w:tc>
      </w:tr>
      <w:tr w:rsidR="00386890" w14:paraId="536D3C74" w14:textId="77777777">
        <w:tblPrEx>
          <w:tblCellMar>
            <w:top w:w="0" w:type="dxa"/>
            <w:bottom w:w="0" w:type="dxa"/>
          </w:tblCellMar>
        </w:tblPrEx>
        <w:tc>
          <w:tcPr>
            <w:tcW w:w="0" w:type="auto"/>
            <w:tcMar>
              <w:top w:w="60" w:type="dxa"/>
              <w:left w:w="100" w:type="dxa"/>
              <w:bottom w:w="60" w:type="dxa"/>
              <w:right w:w="100" w:type="dxa"/>
            </w:tcMar>
            <w:vAlign w:val="center"/>
          </w:tcPr>
          <w:p w14:paraId="2000A766" w14:textId="77777777" w:rsidR="00386890" w:rsidRDefault="00000000">
            <w:r>
              <w:rPr>
                <w:sz w:val="17"/>
                <w:szCs w:val="17"/>
              </w:rPr>
              <w:t>"~25,000 injuries/year, CPSC"</w:t>
            </w:r>
          </w:p>
        </w:tc>
        <w:tc>
          <w:tcPr>
            <w:tcW w:w="0" w:type="auto"/>
            <w:tcMar>
              <w:top w:w="60" w:type="dxa"/>
              <w:left w:w="100" w:type="dxa"/>
              <w:bottom w:w="60" w:type="dxa"/>
              <w:right w:w="100" w:type="dxa"/>
            </w:tcMar>
            <w:vAlign w:val="center"/>
          </w:tcPr>
          <w:p w14:paraId="5422BB03" w14:textId="77777777" w:rsidR="00386890" w:rsidRDefault="00000000">
            <w:r>
              <w:rPr>
                <w:sz w:val="17"/>
                <w:szCs w:val="17"/>
              </w:rPr>
              <w:t>[UNCONFIRMED] — no primary CPSC estimate located</w:t>
            </w:r>
          </w:p>
        </w:tc>
      </w:tr>
      <w:tr w:rsidR="00386890" w14:paraId="726188AA" w14:textId="77777777">
        <w:tblPrEx>
          <w:tblCellMar>
            <w:top w:w="0" w:type="dxa"/>
            <w:bottom w:w="0" w:type="dxa"/>
          </w:tblCellMar>
        </w:tblPrEx>
        <w:tc>
          <w:tcPr>
            <w:tcW w:w="0" w:type="auto"/>
            <w:tcMar>
              <w:top w:w="60" w:type="dxa"/>
              <w:left w:w="100" w:type="dxa"/>
              <w:bottom w:w="60" w:type="dxa"/>
              <w:right w:w="100" w:type="dxa"/>
            </w:tcMar>
            <w:vAlign w:val="center"/>
          </w:tcPr>
          <w:p w14:paraId="20B50A3B" w14:textId="77777777" w:rsidR="00386890" w:rsidRDefault="00000000">
            <w:r>
              <w:rPr>
                <w:sz w:val="17"/>
                <w:szCs w:val="17"/>
              </w:rPr>
              <w:t>"20% kickback fatality rate, OSHA"</w:t>
            </w:r>
          </w:p>
        </w:tc>
        <w:tc>
          <w:tcPr>
            <w:tcW w:w="0" w:type="auto"/>
            <w:tcMar>
              <w:top w:w="60" w:type="dxa"/>
              <w:left w:w="100" w:type="dxa"/>
              <w:bottom w:w="60" w:type="dxa"/>
              <w:right w:w="100" w:type="dxa"/>
            </w:tcMar>
            <w:vAlign w:val="center"/>
          </w:tcPr>
          <w:p w14:paraId="5C5635F9" w14:textId="77777777" w:rsidR="00386890" w:rsidRDefault="00000000">
            <w:r>
              <w:rPr>
                <w:sz w:val="17"/>
                <w:szCs w:val="17"/>
              </w:rPr>
              <w:t>[UNCONFIRMED] — secondary claim, no primary OSHA report located</w:t>
            </w:r>
          </w:p>
        </w:tc>
      </w:tr>
    </w:tbl>
    <w:p w14:paraId="22C4E196" w14:textId="77777777" w:rsidR="00386890" w:rsidRDefault="00000000">
      <w:pPr>
        <w:spacing w:after="160"/>
      </w:pPr>
      <w:r>
        <w:lastRenderedPageBreak/>
        <w:t>Conclusion: there is a convergent body of national literature and regulatory guidance on angle-grinder hazard, but no single homogeneous global survey. For a site HSE case, national statistics plus local incident analysis plus HSG17-equivalent guidance should be preferred over headline global figures.</w:t>
      </w:r>
    </w:p>
    <w:p w14:paraId="760F0CAF" w14:textId="77777777" w:rsidR="00386890" w:rsidRDefault="00000000">
      <w:pPr>
        <w:pStyle w:val="Heading2"/>
        <w:spacing w:before="260" w:after="140"/>
      </w:pPr>
      <w:bookmarkStart w:id="10" w:name="_Toc240012149"/>
      <w:r>
        <w:rPr>
          <w:b/>
          <w:bCs/>
          <w:sz w:val="23"/>
          <w:szCs w:val="23"/>
        </w:rPr>
        <w:t>4.3 Maintenance and "recertification"</w:t>
      </w:r>
      <w:bookmarkEnd w:id="10"/>
    </w:p>
    <w:p w14:paraId="3A668392" w14:textId="77777777" w:rsidR="00386890" w:rsidRDefault="00000000">
      <w:pPr>
        <w:spacing w:after="160"/>
      </w:pPr>
      <w:r>
        <w:t>Under the UK framework, PUWER plus demonstrated competence (training and practical assessment) and HSG17 apply; HSG17 sets no fixed legal recertification interval — periodic refreshers (often 2–3 years in training-provider practice) are good practice, not a costed HSE obligation. A standardized €/tool/year maintenance cost is not robustly documented and would need to be built internally from discs, downtime, incidents, and PPE.</w:t>
      </w:r>
    </w:p>
    <w:p w14:paraId="09D24465" w14:textId="77777777" w:rsidR="00386890" w:rsidRDefault="00000000">
      <w:pPr>
        <w:pStyle w:val="Heading1"/>
        <w:spacing w:before="360" w:after="200"/>
      </w:pPr>
      <w:bookmarkStart w:id="11" w:name="_Toc240012150"/>
      <w:r>
        <w:rPr>
          <w:b/>
          <w:bCs/>
          <w:sz w:val="26"/>
          <w:szCs w:val="26"/>
        </w:rPr>
        <w:t>5. Laser Cleaning — Risks and the Contact-Lens Question</w:t>
      </w:r>
      <w:bookmarkEnd w:id="11"/>
    </w:p>
    <w:p w14:paraId="62968DB0" w14:textId="77777777" w:rsidR="00386890" w:rsidRDefault="00000000">
      <w:pPr>
        <w:pStyle w:val="Heading2"/>
        <w:spacing w:before="260" w:after="140"/>
      </w:pPr>
      <w:bookmarkStart w:id="12" w:name="_Toc240012151"/>
      <w:r>
        <w:rPr>
          <w:b/>
          <w:bCs/>
          <w:sz w:val="23"/>
          <w:szCs w:val="23"/>
        </w:rPr>
        <w:t>5.1 Established Class-4 / 1064 nm risks</w:t>
      </w:r>
      <w:bookmarkEnd w:id="12"/>
    </w:p>
    <w:p w14:paraId="44C67F37" w14:textId="77777777" w:rsidR="00386890" w:rsidRDefault="00000000">
      <w:pPr>
        <w:spacing w:after="160"/>
      </w:pPr>
      <w:r>
        <w:t>Eye and skin hazard from direct beam and from specular and diffuse reflection, requiring a controlled zone, PPE with optical density suited to 1064 nm, and Laser Safety Officer (LSO) procedures under the applicable local framework (IEC 60825 / ANSI Z136). Cleaned metal surfaces increase reflection risk. Ablated fumes and particles (lead- or chromium-bearing paints, oxides) fall under COSHH-equivalent rules; extraction is not optional — a 2025 Virginia Transportation Research Council study found that without effective extraction, exposures can be unacceptable.</w:t>
      </w:r>
    </w:p>
    <w:p w14:paraId="0E0B3880" w14:textId="77777777" w:rsidR="00386890" w:rsidRDefault="00000000">
      <w:pPr>
        <w:pStyle w:val="Heading2"/>
        <w:spacing w:before="260" w:after="140"/>
      </w:pPr>
      <w:bookmarkStart w:id="13" w:name="_Toc240012152"/>
      <w:r>
        <w:rPr>
          <w:b/>
          <w:bCs/>
          <w:sz w:val="23"/>
          <w:szCs w:val="23"/>
        </w:rPr>
        <w:t>5.2 Contact lenses — not an advantage, a theoretical added risk</w:t>
      </w:r>
      <w:bookmarkEnd w:id="13"/>
    </w:p>
    <w:p w14:paraId="5F833FF8" w14:textId="77777777" w:rsidR="00386890" w:rsidRDefault="00000000">
      <w:pPr>
        <w:spacing w:after="160"/>
      </w:pPr>
      <w:r>
        <w:t xml:space="preserve">Position of this document: contact lenses are </w:t>
      </w:r>
      <w:r>
        <w:rPr>
          <w:b/>
          <w:bCs/>
        </w:rPr>
        <w:t>in no case an advantage</w:t>
      </w:r>
      <w:r>
        <w:t xml:space="preserve"> when working near a laser. They provide no protection — they are not PPE. If anything, they may theoretically </w:t>
      </w:r>
      <w:r>
        <w:rPr>
          <w:i/>
          <w:iCs/>
        </w:rPr>
        <w:t>worsen</w:t>
      </w:r>
      <w:r>
        <w:t xml:space="preserve"> ocular stress, chiefly through excessive drying of the tear film / ocular surface under thermal and IR effects associated with laser work, potentially compounded by closed PPE that reduces blinking.</w:t>
      </w:r>
    </w:p>
    <w:tbl>
      <w:tblPr>
        <w:tblW w:w="9600" w:type="dxa"/>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CellMar>
          <w:left w:w="10" w:type="dxa"/>
          <w:right w:w="10" w:type="dxa"/>
        </w:tblCellMar>
        <w:tblLook w:val="0000" w:firstRow="0" w:lastRow="0" w:firstColumn="0" w:lastColumn="0" w:noHBand="0" w:noVBand="0"/>
      </w:tblPr>
      <w:tblGrid>
        <w:gridCol w:w="3162"/>
        <w:gridCol w:w="6438"/>
      </w:tblGrid>
      <w:tr w:rsidR="00386890" w14:paraId="41EFBDB4" w14:textId="77777777">
        <w:tblPrEx>
          <w:tblCellMar>
            <w:top w:w="0" w:type="dxa"/>
            <w:bottom w:w="0" w:type="dxa"/>
          </w:tblCellMar>
        </w:tblPrEx>
        <w:tc>
          <w:tcPr>
            <w:tcW w:w="0" w:type="auto"/>
            <w:shd w:val="clear" w:color="auto" w:fill="E8E8E8"/>
            <w:tcMar>
              <w:top w:w="60" w:type="dxa"/>
              <w:left w:w="100" w:type="dxa"/>
              <w:bottom w:w="60" w:type="dxa"/>
              <w:right w:w="100" w:type="dxa"/>
            </w:tcMar>
            <w:vAlign w:val="center"/>
          </w:tcPr>
          <w:p w14:paraId="4939F325" w14:textId="77777777" w:rsidR="00386890" w:rsidRDefault="00000000">
            <w:r>
              <w:rPr>
                <w:b/>
                <w:bCs/>
                <w:sz w:val="17"/>
                <w:szCs w:val="17"/>
              </w:rPr>
              <w:t>Claim</w:t>
            </w:r>
          </w:p>
        </w:tc>
        <w:tc>
          <w:tcPr>
            <w:tcW w:w="0" w:type="auto"/>
            <w:shd w:val="clear" w:color="auto" w:fill="E8E8E8"/>
            <w:tcMar>
              <w:top w:w="60" w:type="dxa"/>
              <w:left w:w="100" w:type="dxa"/>
              <w:bottom w:w="60" w:type="dxa"/>
              <w:right w:w="100" w:type="dxa"/>
            </w:tcMar>
            <w:vAlign w:val="center"/>
          </w:tcPr>
          <w:p w14:paraId="4F31BB6A" w14:textId="77777777" w:rsidR="00386890" w:rsidRDefault="00000000">
            <w:r>
              <w:rPr>
                <w:b/>
                <w:bCs/>
                <w:sz w:val="17"/>
                <w:szCs w:val="17"/>
              </w:rPr>
              <w:t>Verdict</w:t>
            </w:r>
          </w:p>
        </w:tc>
      </w:tr>
      <w:tr w:rsidR="00386890" w14:paraId="6C1CDE04" w14:textId="77777777">
        <w:tblPrEx>
          <w:tblCellMar>
            <w:top w:w="0" w:type="dxa"/>
            <w:bottom w:w="0" w:type="dxa"/>
          </w:tblCellMar>
        </w:tblPrEx>
        <w:tc>
          <w:tcPr>
            <w:tcW w:w="0" w:type="auto"/>
            <w:tcMar>
              <w:top w:w="60" w:type="dxa"/>
              <w:left w:w="100" w:type="dxa"/>
              <w:bottom w:w="60" w:type="dxa"/>
              <w:right w:w="100" w:type="dxa"/>
            </w:tcMar>
            <w:vAlign w:val="center"/>
          </w:tcPr>
          <w:p w14:paraId="254D8752" w14:textId="77777777" w:rsidR="00386890" w:rsidRDefault="00000000">
            <w:r>
              <w:rPr>
                <w:sz w:val="17"/>
                <w:szCs w:val="17"/>
              </w:rPr>
              <w:t>Contact lenses protect against the laser</w:t>
            </w:r>
          </w:p>
        </w:tc>
        <w:tc>
          <w:tcPr>
            <w:tcW w:w="0" w:type="auto"/>
            <w:tcMar>
              <w:top w:w="60" w:type="dxa"/>
              <w:left w:w="100" w:type="dxa"/>
              <w:bottom w:w="60" w:type="dxa"/>
              <w:right w:w="100" w:type="dxa"/>
            </w:tcMar>
            <w:vAlign w:val="center"/>
          </w:tcPr>
          <w:p w14:paraId="2A4D21F8" w14:textId="77777777" w:rsidR="00386890" w:rsidRDefault="00000000">
            <w:r>
              <w:rPr>
                <w:sz w:val="17"/>
                <w:szCs w:val="17"/>
              </w:rPr>
              <w:t>False — never a laser PPE (ANSI Z136; laser-safety literature)</w:t>
            </w:r>
          </w:p>
        </w:tc>
      </w:tr>
      <w:tr w:rsidR="00386890" w14:paraId="138BF9C8" w14:textId="77777777">
        <w:tblPrEx>
          <w:tblCellMar>
            <w:top w:w="0" w:type="dxa"/>
            <w:bottom w:w="0" w:type="dxa"/>
          </w:tblCellMar>
        </w:tblPrEx>
        <w:tc>
          <w:tcPr>
            <w:tcW w:w="0" w:type="auto"/>
            <w:tcMar>
              <w:top w:w="60" w:type="dxa"/>
              <w:left w:w="100" w:type="dxa"/>
              <w:bottom w:w="60" w:type="dxa"/>
              <w:right w:w="100" w:type="dxa"/>
            </w:tcMar>
            <w:vAlign w:val="center"/>
          </w:tcPr>
          <w:p w14:paraId="2A7E1EC3" w14:textId="77777777" w:rsidR="00386890" w:rsidRDefault="00000000">
            <w:r>
              <w:rPr>
                <w:sz w:val="17"/>
                <w:szCs w:val="17"/>
              </w:rPr>
              <w:t>Contact lenses are an HSE advantage</w:t>
            </w:r>
          </w:p>
        </w:tc>
        <w:tc>
          <w:tcPr>
            <w:tcW w:w="0" w:type="auto"/>
            <w:tcMar>
              <w:top w:w="60" w:type="dxa"/>
              <w:left w:w="100" w:type="dxa"/>
              <w:bottom w:w="60" w:type="dxa"/>
              <w:right w:w="100" w:type="dxa"/>
            </w:tcMar>
            <w:vAlign w:val="center"/>
          </w:tcPr>
          <w:p w14:paraId="436EFA7A" w14:textId="77777777" w:rsidR="00386890" w:rsidRDefault="00000000">
            <w:r>
              <w:rPr>
                <w:sz w:val="17"/>
                <w:szCs w:val="17"/>
              </w:rPr>
              <w:t>False — at best neutral under correct PPE; more plausibly an added risk factor to manage</w:t>
            </w:r>
          </w:p>
        </w:tc>
      </w:tr>
      <w:tr w:rsidR="00386890" w14:paraId="2FCF879C" w14:textId="77777777">
        <w:tblPrEx>
          <w:tblCellMar>
            <w:top w:w="0" w:type="dxa"/>
            <w:bottom w:w="0" w:type="dxa"/>
          </w:tblCellMar>
        </w:tblPrEx>
        <w:tc>
          <w:tcPr>
            <w:tcW w:w="0" w:type="auto"/>
            <w:tcMar>
              <w:top w:w="60" w:type="dxa"/>
              <w:left w:w="100" w:type="dxa"/>
              <w:bottom w:w="60" w:type="dxa"/>
              <w:right w:w="100" w:type="dxa"/>
            </w:tcMar>
            <w:vAlign w:val="center"/>
          </w:tcPr>
          <w:p w14:paraId="7BFA30DD" w14:textId="77777777" w:rsidR="00386890" w:rsidRDefault="00000000">
            <w:r>
              <w:rPr>
                <w:sz w:val="17"/>
                <w:szCs w:val="17"/>
              </w:rPr>
              <w:t>Excessive drying / irritation under laser work (lenses)</w:t>
            </w:r>
          </w:p>
        </w:tc>
        <w:tc>
          <w:tcPr>
            <w:tcW w:w="0" w:type="auto"/>
            <w:tcMar>
              <w:top w:w="60" w:type="dxa"/>
              <w:left w:w="100" w:type="dxa"/>
              <w:bottom w:w="60" w:type="dxa"/>
              <w:right w:w="100" w:type="dxa"/>
            </w:tcMar>
            <w:vAlign w:val="center"/>
          </w:tcPr>
          <w:p w14:paraId="48318BDD" w14:textId="77777777" w:rsidR="00386890" w:rsidRDefault="00000000">
            <w:r>
              <w:rPr>
                <w:sz w:val="17"/>
                <w:szCs w:val="17"/>
              </w:rPr>
              <w:t>Theoretical / plausible risk to take seriously in site policy (1064 nm IR, heat, dry air, plume) — a credible physiological mechanism, not dedicated laser-cleaning epidemiology</w:t>
            </w:r>
          </w:p>
        </w:tc>
      </w:tr>
      <w:tr w:rsidR="00386890" w14:paraId="5F407BD5" w14:textId="77777777">
        <w:tblPrEx>
          <w:tblCellMar>
            <w:top w:w="0" w:type="dxa"/>
            <w:bottom w:w="0" w:type="dxa"/>
          </w:tblCellMar>
        </w:tblPrEx>
        <w:tc>
          <w:tcPr>
            <w:tcW w:w="0" w:type="auto"/>
            <w:tcMar>
              <w:top w:w="60" w:type="dxa"/>
              <w:left w:w="100" w:type="dxa"/>
              <w:bottom w:w="60" w:type="dxa"/>
              <w:right w:w="100" w:type="dxa"/>
            </w:tcMar>
            <w:vAlign w:val="center"/>
          </w:tcPr>
          <w:p w14:paraId="47923BD8" w14:textId="77777777" w:rsidR="00386890" w:rsidRDefault="00000000">
            <w:r>
              <w:rPr>
                <w:sz w:val="17"/>
                <w:szCs w:val="17"/>
              </w:rPr>
              <w:t>Lenses "fused" to the cornea</w:t>
            </w:r>
          </w:p>
        </w:tc>
        <w:tc>
          <w:tcPr>
            <w:tcW w:w="0" w:type="auto"/>
            <w:tcMar>
              <w:top w:w="60" w:type="dxa"/>
              <w:left w:w="100" w:type="dxa"/>
              <w:bottom w:w="60" w:type="dxa"/>
              <w:right w:w="100" w:type="dxa"/>
            </w:tcMar>
            <w:vAlign w:val="center"/>
          </w:tcPr>
          <w:p w14:paraId="500EB4F2" w14:textId="77777777" w:rsidR="00386890" w:rsidRDefault="00000000">
            <w:r>
              <w:rPr>
                <w:sz w:val="17"/>
                <w:szCs w:val="17"/>
              </w:rPr>
              <w:t>Myth, refuted for welding arcs (AWS, OSHA, FDA, NSC, CCOHS, AOA) — not to be confused with the drying risk</w:t>
            </w:r>
          </w:p>
        </w:tc>
      </w:tr>
      <w:tr w:rsidR="00386890" w14:paraId="1154CC5B" w14:textId="77777777">
        <w:tblPrEx>
          <w:tblCellMar>
            <w:top w:w="0" w:type="dxa"/>
            <w:bottom w:w="0" w:type="dxa"/>
          </w:tblCellMar>
        </w:tblPrEx>
        <w:tc>
          <w:tcPr>
            <w:tcW w:w="0" w:type="auto"/>
            <w:tcMar>
              <w:top w:w="60" w:type="dxa"/>
              <w:left w:w="100" w:type="dxa"/>
              <w:bottom w:w="60" w:type="dxa"/>
              <w:right w:w="100" w:type="dxa"/>
            </w:tcMar>
            <w:vAlign w:val="center"/>
          </w:tcPr>
          <w:p w14:paraId="47DB8500" w14:textId="77777777" w:rsidR="00386890" w:rsidRDefault="00000000">
            <w:r>
              <w:rPr>
                <w:sz w:val="17"/>
                <w:szCs w:val="17"/>
              </w:rPr>
              <w:t>Laser injury proven more severe solely because of lens-wear, under correct PPE</w:t>
            </w:r>
          </w:p>
        </w:tc>
        <w:tc>
          <w:tcPr>
            <w:tcW w:w="0" w:type="auto"/>
            <w:tcMar>
              <w:top w:w="60" w:type="dxa"/>
              <w:left w:w="100" w:type="dxa"/>
              <w:bottom w:w="60" w:type="dxa"/>
              <w:right w:w="100" w:type="dxa"/>
            </w:tcMar>
            <w:vAlign w:val="center"/>
          </w:tcPr>
          <w:p w14:paraId="4B8A3D0C" w14:textId="77777777" w:rsidR="00386890" w:rsidRDefault="00000000">
            <w:r>
              <w:rPr>
                <w:sz w:val="17"/>
                <w:szCs w:val="17"/>
              </w:rPr>
              <w:t>[UNCONFIRMED] in the epidemiological literature — this does not cancel out prudence on drying/particle entrapment</w:t>
            </w:r>
          </w:p>
        </w:tc>
      </w:tr>
    </w:tbl>
    <w:p w14:paraId="7D306E1C" w14:textId="77777777" w:rsidR="00386890" w:rsidRDefault="00000000">
      <w:pPr>
        <w:spacing w:after="160"/>
      </w:pPr>
      <w:r>
        <w:t>What is genuinely established (</w:t>
      </w:r>
      <w:proofErr w:type="spellStart"/>
      <w:r>
        <w:t>Lövsund</w:t>
      </w:r>
      <w:proofErr w:type="spellEnd"/>
      <w:r>
        <w:t>, Nilsson et al., 1979, Scand J Work Environ Health) is a marked temperature rise and frequent complete desiccation of soft contact lenses under welding-arc and infrared-heater exposure in controlled rabbit-eye experiments, with adequate welding shields preventing the effect (DOI 10.5271/sjweh.3102; DOI 10.5271/sjweh.3100). Extending this mechanism to 1064 nm industrial laser cleaning is a plausible (b) extrapolation, not a dedicated (a) epidemiological finding. Recommended policy remains prudent: avoid contact lenses in controlled laser zones; if worn, identify wearers and instruct immediate removal on irritation; laser PPE (optical density matched to 1064 nm) is mandatory regardless.</w:t>
      </w:r>
    </w:p>
    <w:p w14:paraId="45FD2B12" w14:textId="77777777" w:rsidR="00386890" w:rsidRDefault="00000000">
      <w:pPr>
        <w:pStyle w:val="Heading1"/>
        <w:spacing w:before="360" w:after="200"/>
      </w:pPr>
      <w:bookmarkStart w:id="14" w:name="_Toc240012153"/>
      <w:r>
        <w:rPr>
          <w:b/>
          <w:bCs/>
          <w:sz w:val="26"/>
          <w:szCs w:val="26"/>
        </w:rPr>
        <w:t>6. The Business Case — Utilization Intensity as the Primary Value Driver</w:t>
      </w:r>
      <w:bookmarkEnd w:id="14"/>
    </w:p>
    <w:p w14:paraId="1C6A37F8" w14:textId="77777777" w:rsidR="00386890" w:rsidRDefault="00000000">
      <w:pPr>
        <w:spacing w:after="160"/>
      </w:pPr>
      <w:r>
        <w:t>This is the section that turns a technically sound HSE improvement into a defensible investment decision. The argument is deliberately conservative: it does not invent a site TCO, because the underlying hours and costs are not yet measured (Section 8 proposes how to get them). What it does establish, from first principles and from the cost structure of the technology itself, is the single variable that will make or break the payback.</w:t>
      </w:r>
    </w:p>
    <w:p w14:paraId="31F1E42F" w14:textId="77777777" w:rsidR="00386890" w:rsidRDefault="00000000">
      <w:pPr>
        <w:pStyle w:val="Heading2"/>
        <w:spacing w:before="260" w:after="140"/>
      </w:pPr>
      <w:bookmarkStart w:id="15" w:name="_Toc240012154"/>
      <w:r>
        <w:rPr>
          <w:b/>
          <w:bCs/>
          <w:sz w:val="23"/>
          <w:szCs w:val="23"/>
        </w:rPr>
        <w:t>6.1 Five-year comparative framework</w:t>
      </w:r>
      <w:bookmarkEnd w:id="15"/>
    </w:p>
    <w:tbl>
      <w:tblPr>
        <w:tblW w:w="9400" w:type="dxa"/>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CellMar>
          <w:left w:w="10" w:type="dxa"/>
          <w:right w:w="10" w:type="dxa"/>
        </w:tblCellMar>
        <w:tblLook w:val="0000" w:firstRow="0" w:lastRow="0" w:firstColumn="0" w:lastColumn="0" w:noHBand="0" w:noVBand="0"/>
      </w:tblPr>
      <w:tblGrid>
        <w:gridCol w:w="1217"/>
        <w:gridCol w:w="2883"/>
        <w:gridCol w:w="5300"/>
      </w:tblGrid>
      <w:tr w:rsidR="00386890" w14:paraId="438B4216" w14:textId="77777777">
        <w:tblPrEx>
          <w:tblCellMar>
            <w:top w:w="0" w:type="dxa"/>
            <w:bottom w:w="0" w:type="dxa"/>
          </w:tblCellMar>
        </w:tblPrEx>
        <w:tc>
          <w:tcPr>
            <w:tcW w:w="0" w:type="auto"/>
            <w:shd w:val="clear" w:color="auto" w:fill="E8E8E8"/>
            <w:tcMar>
              <w:top w:w="60" w:type="dxa"/>
              <w:left w:w="100" w:type="dxa"/>
              <w:bottom w:w="60" w:type="dxa"/>
              <w:right w:w="100" w:type="dxa"/>
            </w:tcMar>
            <w:vAlign w:val="center"/>
          </w:tcPr>
          <w:p w14:paraId="27CBB6AB" w14:textId="77777777" w:rsidR="00386890" w:rsidRDefault="00000000">
            <w:r>
              <w:rPr>
                <w:b/>
                <w:bCs/>
                <w:sz w:val="17"/>
                <w:szCs w:val="17"/>
              </w:rPr>
              <w:t>Criterion</w:t>
            </w:r>
          </w:p>
        </w:tc>
        <w:tc>
          <w:tcPr>
            <w:tcW w:w="0" w:type="auto"/>
            <w:shd w:val="clear" w:color="auto" w:fill="E8E8E8"/>
            <w:tcMar>
              <w:top w:w="60" w:type="dxa"/>
              <w:left w:w="100" w:type="dxa"/>
              <w:bottom w:w="60" w:type="dxa"/>
              <w:right w:w="100" w:type="dxa"/>
            </w:tcMar>
            <w:vAlign w:val="center"/>
          </w:tcPr>
          <w:p w14:paraId="4D2B7E8F" w14:textId="77777777" w:rsidR="00386890" w:rsidRDefault="00000000">
            <w:r>
              <w:rPr>
                <w:b/>
                <w:bCs/>
                <w:sz w:val="17"/>
                <w:szCs w:val="17"/>
              </w:rPr>
              <w:t>Angle grinders</w:t>
            </w:r>
          </w:p>
        </w:tc>
        <w:tc>
          <w:tcPr>
            <w:tcW w:w="0" w:type="auto"/>
            <w:shd w:val="clear" w:color="auto" w:fill="E8E8E8"/>
            <w:tcMar>
              <w:top w:w="60" w:type="dxa"/>
              <w:left w:w="100" w:type="dxa"/>
              <w:bottom w:w="60" w:type="dxa"/>
              <w:right w:w="100" w:type="dxa"/>
            </w:tcMar>
            <w:vAlign w:val="center"/>
          </w:tcPr>
          <w:p w14:paraId="18A315E2" w14:textId="77777777" w:rsidR="00386890" w:rsidRDefault="00000000">
            <w:r>
              <w:rPr>
                <w:b/>
                <w:bCs/>
                <w:sz w:val="17"/>
                <w:szCs w:val="17"/>
              </w:rPr>
              <w:t>Laser cleaning + training + extraction</w:t>
            </w:r>
          </w:p>
        </w:tc>
      </w:tr>
      <w:tr w:rsidR="00386890" w14:paraId="1EE04AFC" w14:textId="77777777">
        <w:tblPrEx>
          <w:tblCellMar>
            <w:top w:w="0" w:type="dxa"/>
            <w:bottom w:w="0" w:type="dxa"/>
          </w:tblCellMar>
        </w:tblPrEx>
        <w:tc>
          <w:tcPr>
            <w:tcW w:w="0" w:type="auto"/>
            <w:tcMar>
              <w:top w:w="60" w:type="dxa"/>
              <w:left w:w="100" w:type="dxa"/>
              <w:bottom w:w="60" w:type="dxa"/>
              <w:right w:w="100" w:type="dxa"/>
            </w:tcMar>
            <w:vAlign w:val="center"/>
          </w:tcPr>
          <w:p w14:paraId="50732EAB" w14:textId="77777777" w:rsidR="00386890" w:rsidRDefault="00000000">
            <w:r>
              <w:rPr>
                <w:sz w:val="17"/>
                <w:szCs w:val="17"/>
              </w:rPr>
              <w:t>Capex</w:t>
            </w:r>
          </w:p>
        </w:tc>
        <w:tc>
          <w:tcPr>
            <w:tcW w:w="0" w:type="auto"/>
            <w:tcMar>
              <w:top w:w="60" w:type="dxa"/>
              <w:left w:w="100" w:type="dxa"/>
              <w:bottom w:w="60" w:type="dxa"/>
              <w:right w:w="100" w:type="dxa"/>
            </w:tcMar>
            <w:vAlign w:val="center"/>
          </w:tcPr>
          <w:p w14:paraId="6DD22671" w14:textId="77777777" w:rsidR="00386890" w:rsidRDefault="00000000">
            <w:r>
              <w:rPr>
                <w:sz w:val="17"/>
                <w:szCs w:val="17"/>
              </w:rPr>
              <w:t>Low</w:t>
            </w:r>
          </w:p>
        </w:tc>
        <w:tc>
          <w:tcPr>
            <w:tcW w:w="0" w:type="auto"/>
            <w:tcMar>
              <w:top w:w="60" w:type="dxa"/>
              <w:left w:w="100" w:type="dxa"/>
              <w:bottom w:w="60" w:type="dxa"/>
              <w:right w:w="100" w:type="dxa"/>
            </w:tcMar>
            <w:vAlign w:val="center"/>
          </w:tcPr>
          <w:p w14:paraId="3219B277" w14:textId="77777777" w:rsidR="00386890" w:rsidRDefault="00000000">
            <w:r>
              <w:rPr>
                <w:sz w:val="17"/>
                <w:szCs w:val="17"/>
              </w:rPr>
              <w:t>High — machine, filtration, laser PPE, training</w:t>
            </w:r>
          </w:p>
        </w:tc>
      </w:tr>
      <w:tr w:rsidR="00386890" w14:paraId="16751B06" w14:textId="77777777">
        <w:tblPrEx>
          <w:tblCellMar>
            <w:top w:w="0" w:type="dxa"/>
            <w:bottom w:w="0" w:type="dxa"/>
          </w:tblCellMar>
        </w:tblPrEx>
        <w:tc>
          <w:tcPr>
            <w:tcW w:w="0" w:type="auto"/>
            <w:tcMar>
              <w:top w:w="60" w:type="dxa"/>
              <w:left w:w="100" w:type="dxa"/>
              <w:bottom w:w="60" w:type="dxa"/>
              <w:right w:w="100" w:type="dxa"/>
            </w:tcMar>
            <w:vAlign w:val="center"/>
          </w:tcPr>
          <w:p w14:paraId="1DA97187" w14:textId="77777777" w:rsidR="00386890" w:rsidRDefault="00000000">
            <w:proofErr w:type="spellStart"/>
            <w:r>
              <w:rPr>
                <w:sz w:val="17"/>
                <w:szCs w:val="17"/>
              </w:rPr>
              <w:t>Opex</w:t>
            </w:r>
            <w:proofErr w:type="spellEnd"/>
            <w:r>
              <w:rPr>
                <w:sz w:val="17"/>
                <w:szCs w:val="17"/>
              </w:rPr>
              <w:t xml:space="preserve"> (5 yr)</w:t>
            </w:r>
          </w:p>
        </w:tc>
        <w:tc>
          <w:tcPr>
            <w:tcW w:w="0" w:type="auto"/>
            <w:tcMar>
              <w:top w:w="60" w:type="dxa"/>
              <w:left w:w="100" w:type="dxa"/>
              <w:bottom w:w="60" w:type="dxa"/>
              <w:right w:w="100" w:type="dxa"/>
            </w:tcMar>
            <w:vAlign w:val="center"/>
          </w:tcPr>
          <w:p w14:paraId="08750291" w14:textId="77777777" w:rsidR="00386890" w:rsidRDefault="00000000">
            <w:r>
              <w:rPr>
                <w:sz w:val="17"/>
                <w:szCs w:val="17"/>
              </w:rPr>
              <w:t>Discs, bearings, PPE, dust confinement, incidents, downtime</w:t>
            </w:r>
          </w:p>
        </w:tc>
        <w:tc>
          <w:tcPr>
            <w:tcW w:w="0" w:type="auto"/>
            <w:tcMar>
              <w:top w:w="60" w:type="dxa"/>
              <w:left w:w="100" w:type="dxa"/>
              <w:bottom w:w="60" w:type="dxa"/>
              <w:right w:w="100" w:type="dxa"/>
            </w:tcMar>
            <w:vAlign w:val="center"/>
          </w:tcPr>
          <w:p w14:paraId="0BF022D6" w14:textId="77777777" w:rsidR="00386890" w:rsidRDefault="00000000">
            <w:r>
              <w:rPr>
                <w:sz w:val="17"/>
                <w:szCs w:val="17"/>
              </w:rPr>
              <w:t>Energy, optics/laser maintenance, filters, recalibration; little consumable spend</w:t>
            </w:r>
          </w:p>
        </w:tc>
      </w:tr>
      <w:tr w:rsidR="00386890" w14:paraId="655336C0" w14:textId="77777777">
        <w:tblPrEx>
          <w:tblCellMar>
            <w:top w:w="0" w:type="dxa"/>
            <w:bottom w:w="0" w:type="dxa"/>
          </w:tblCellMar>
        </w:tblPrEx>
        <w:tc>
          <w:tcPr>
            <w:tcW w:w="0" w:type="auto"/>
            <w:tcMar>
              <w:top w:w="60" w:type="dxa"/>
              <w:left w:w="100" w:type="dxa"/>
              <w:bottom w:w="60" w:type="dxa"/>
              <w:right w:w="100" w:type="dxa"/>
            </w:tcMar>
            <w:vAlign w:val="center"/>
          </w:tcPr>
          <w:p w14:paraId="259A8043" w14:textId="77777777" w:rsidR="00386890" w:rsidRDefault="00000000">
            <w:r>
              <w:rPr>
                <w:sz w:val="17"/>
                <w:szCs w:val="17"/>
              </w:rPr>
              <w:lastRenderedPageBreak/>
              <w:t>Substrate quality</w:t>
            </w:r>
          </w:p>
        </w:tc>
        <w:tc>
          <w:tcPr>
            <w:tcW w:w="0" w:type="auto"/>
            <w:tcMar>
              <w:top w:w="60" w:type="dxa"/>
              <w:left w:w="100" w:type="dxa"/>
              <w:bottom w:w="60" w:type="dxa"/>
              <w:right w:w="100" w:type="dxa"/>
            </w:tcMar>
            <w:vAlign w:val="center"/>
          </w:tcPr>
          <w:p w14:paraId="33373DF7" w14:textId="77777777" w:rsidR="00386890" w:rsidRDefault="00000000">
            <w:r>
              <w:rPr>
                <w:sz w:val="17"/>
                <w:szCs w:val="17"/>
              </w:rPr>
              <w:t>Abrasive removal; risk of over-removal, cross-contamination</w:t>
            </w:r>
          </w:p>
        </w:tc>
        <w:tc>
          <w:tcPr>
            <w:tcW w:w="0" w:type="auto"/>
            <w:tcMar>
              <w:top w:w="60" w:type="dxa"/>
              <w:left w:w="100" w:type="dxa"/>
              <w:bottom w:w="60" w:type="dxa"/>
              <w:right w:w="100" w:type="dxa"/>
            </w:tcMar>
            <w:vAlign w:val="center"/>
          </w:tcPr>
          <w:p w14:paraId="69510C56" w14:textId="77777777" w:rsidR="00386890" w:rsidRDefault="00000000">
            <w:r>
              <w:rPr>
                <w:sz w:val="17"/>
                <w:szCs w:val="17"/>
              </w:rPr>
              <w:t>More selective ablation if parameters are correct (b); occasional light mechanical touch-up where paint anchoring is insufficient</w:t>
            </w:r>
          </w:p>
        </w:tc>
      </w:tr>
      <w:tr w:rsidR="00386890" w14:paraId="2E3061F7" w14:textId="77777777">
        <w:tblPrEx>
          <w:tblCellMar>
            <w:top w:w="0" w:type="dxa"/>
            <w:bottom w:w="0" w:type="dxa"/>
          </w:tblCellMar>
        </w:tblPrEx>
        <w:tc>
          <w:tcPr>
            <w:tcW w:w="0" w:type="auto"/>
            <w:tcMar>
              <w:top w:w="60" w:type="dxa"/>
              <w:left w:w="100" w:type="dxa"/>
              <w:bottom w:w="60" w:type="dxa"/>
              <w:right w:w="100" w:type="dxa"/>
            </w:tcMar>
            <w:vAlign w:val="center"/>
          </w:tcPr>
          <w:p w14:paraId="44685916" w14:textId="77777777" w:rsidR="00386890" w:rsidRDefault="00000000">
            <w:r>
              <w:rPr>
                <w:sz w:val="17"/>
                <w:szCs w:val="17"/>
              </w:rPr>
              <w:t>Dust / HSE</w:t>
            </w:r>
          </w:p>
        </w:tc>
        <w:tc>
          <w:tcPr>
            <w:tcW w:w="0" w:type="auto"/>
            <w:tcMar>
              <w:top w:w="60" w:type="dxa"/>
              <w:left w:w="100" w:type="dxa"/>
              <w:bottom w:w="60" w:type="dxa"/>
              <w:right w:w="100" w:type="dxa"/>
            </w:tcMar>
            <w:vAlign w:val="center"/>
          </w:tcPr>
          <w:p w14:paraId="722E8C10" w14:textId="77777777" w:rsidR="00386890" w:rsidRDefault="00000000">
            <w:r>
              <w:rPr>
                <w:sz w:val="17"/>
                <w:szCs w:val="17"/>
              </w:rPr>
              <w:t>High — silica/metal/paint dust without LEV+RPE</w:t>
            </w:r>
          </w:p>
        </w:tc>
        <w:tc>
          <w:tcPr>
            <w:tcW w:w="0" w:type="auto"/>
            <w:tcMar>
              <w:top w:w="60" w:type="dxa"/>
              <w:left w:w="100" w:type="dxa"/>
              <w:bottom w:w="60" w:type="dxa"/>
              <w:right w:w="100" w:type="dxa"/>
            </w:tcMar>
            <w:vAlign w:val="center"/>
          </w:tcPr>
          <w:p w14:paraId="7EC0314D" w14:textId="77777777" w:rsidR="00386890" w:rsidRDefault="00000000">
            <w:r>
              <w:rPr>
                <w:sz w:val="17"/>
                <w:szCs w:val="17"/>
              </w:rPr>
              <w:t>No abrasive disc; LGAC must be extracted — HSE gain conditional on genuinely effective extraction</w:t>
            </w:r>
          </w:p>
        </w:tc>
      </w:tr>
      <w:tr w:rsidR="00386890" w14:paraId="3AC40AC6" w14:textId="77777777">
        <w:tblPrEx>
          <w:tblCellMar>
            <w:top w:w="0" w:type="dxa"/>
            <w:bottom w:w="0" w:type="dxa"/>
          </w:tblCellMar>
        </w:tblPrEx>
        <w:tc>
          <w:tcPr>
            <w:tcW w:w="0" w:type="auto"/>
            <w:tcMar>
              <w:top w:w="60" w:type="dxa"/>
              <w:left w:w="100" w:type="dxa"/>
              <w:bottom w:w="60" w:type="dxa"/>
              <w:right w:w="100" w:type="dxa"/>
            </w:tcMar>
            <w:vAlign w:val="center"/>
          </w:tcPr>
          <w:p w14:paraId="112B187A" w14:textId="77777777" w:rsidR="00386890" w:rsidRDefault="00000000">
            <w:r>
              <w:rPr>
                <w:sz w:val="17"/>
                <w:szCs w:val="17"/>
              </w:rPr>
              <w:t>Moving parts</w:t>
            </w:r>
          </w:p>
        </w:tc>
        <w:tc>
          <w:tcPr>
            <w:tcW w:w="0" w:type="auto"/>
            <w:tcMar>
              <w:top w:w="60" w:type="dxa"/>
              <w:left w:w="100" w:type="dxa"/>
              <w:bottom w:w="60" w:type="dxa"/>
              <w:right w:w="100" w:type="dxa"/>
            </w:tcMar>
            <w:vAlign w:val="center"/>
          </w:tcPr>
          <w:p w14:paraId="3D56A855" w14:textId="77777777" w:rsidR="00386890" w:rsidRDefault="00000000">
            <w:r>
              <w:rPr>
                <w:sz w:val="17"/>
                <w:szCs w:val="17"/>
              </w:rPr>
              <w:t>High-speed disc, kickback, guard</w:t>
            </w:r>
          </w:p>
        </w:tc>
        <w:tc>
          <w:tcPr>
            <w:tcW w:w="0" w:type="auto"/>
            <w:tcMar>
              <w:top w:w="60" w:type="dxa"/>
              <w:left w:w="100" w:type="dxa"/>
              <w:bottom w:w="60" w:type="dxa"/>
              <w:right w:w="100" w:type="dxa"/>
            </w:tcMar>
            <w:vAlign w:val="center"/>
          </w:tcPr>
          <w:p w14:paraId="40849E92" w14:textId="77777777" w:rsidR="00386890" w:rsidRDefault="00000000">
            <w:r>
              <w:rPr>
                <w:sz w:val="17"/>
                <w:szCs w:val="17"/>
              </w:rPr>
              <w:t>No disc; laser/reflection/zone risks instead</w:t>
            </w:r>
          </w:p>
        </w:tc>
      </w:tr>
      <w:tr w:rsidR="00386890" w14:paraId="04F57F8A" w14:textId="77777777">
        <w:tblPrEx>
          <w:tblCellMar>
            <w:top w:w="0" w:type="dxa"/>
            <w:bottom w:w="0" w:type="dxa"/>
          </w:tblCellMar>
        </w:tblPrEx>
        <w:tc>
          <w:tcPr>
            <w:tcW w:w="0" w:type="auto"/>
            <w:tcMar>
              <w:top w:w="60" w:type="dxa"/>
              <w:left w:w="100" w:type="dxa"/>
              <w:bottom w:w="60" w:type="dxa"/>
              <w:right w:w="100" w:type="dxa"/>
            </w:tcMar>
            <w:vAlign w:val="center"/>
          </w:tcPr>
          <w:p w14:paraId="0DDE2F91" w14:textId="77777777" w:rsidR="00386890" w:rsidRDefault="00000000">
            <w:r>
              <w:rPr>
                <w:sz w:val="17"/>
                <w:szCs w:val="17"/>
              </w:rPr>
              <w:t>HAVS / tool noise</w:t>
            </w:r>
          </w:p>
        </w:tc>
        <w:tc>
          <w:tcPr>
            <w:tcW w:w="0" w:type="auto"/>
            <w:tcMar>
              <w:top w:w="60" w:type="dxa"/>
              <w:left w:w="100" w:type="dxa"/>
              <w:bottom w:w="60" w:type="dxa"/>
              <w:right w:w="100" w:type="dxa"/>
            </w:tcMar>
            <w:vAlign w:val="center"/>
          </w:tcPr>
          <w:p w14:paraId="1FD374CA" w14:textId="77777777" w:rsidR="00386890" w:rsidRDefault="00000000">
            <w:r>
              <w:rPr>
                <w:sz w:val="17"/>
                <w:szCs w:val="17"/>
              </w:rPr>
              <w:t>High — grinders are HSE-listed</w:t>
            </w:r>
          </w:p>
        </w:tc>
        <w:tc>
          <w:tcPr>
            <w:tcW w:w="0" w:type="auto"/>
            <w:tcMar>
              <w:top w:w="60" w:type="dxa"/>
              <w:left w:w="100" w:type="dxa"/>
              <w:bottom w:w="60" w:type="dxa"/>
              <w:right w:w="100" w:type="dxa"/>
            </w:tcMar>
            <w:vAlign w:val="center"/>
          </w:tcPr>
          <w:p w14:paraId="0E343C2F" w14:textId="77777777" w:rsidR="00386890" w:rsidRDefault="00000000">
            <w:r>
              <w:rPr>
                <w:sz w:val="17"/>
                <w:szCs w:val="17"/>
              </w:rPr>
              <w:t>No grinding-type vibration; extractor noise possible</w:t>
            </w:r>
          </w:p>
        </w:tc>
      </w:tr>
      <w:tr w:rsidR="00386890" w14:paraId="794D7B91" w14:textId="77777777">
        <w:tblPrEx>
          <w:tblCellMar>
            <w:top w:w="0" w:type="dxa"/>
            <w:bottom w:w="0" w:type="dxa"/>
          </w:tblCellMar>
        </w:tblPrEx>
        <w:tc>
          <w:tcPr>
            <w:tcW w:w="0" w:type="auto"/>
            <w:tcMar>
              <w:top w:w="60" w:type="dxa"/>
              <w:left w:w="100" w:type="dxa"/>
              <w:bottom w:w="60" w:type="dxa"/>
              <w:right w:w="100" w:type="dxa"/>
            </w:tcMar>
            <w:vAlign w:val="center"/>
          </w:tcPr>
          <w:p w14:paraId="592A87E7" w14:textId="77777777" w:rsidR="00386890" w:rsidRDefault="00000000">
            <w:r>
              <w:rPr>
                <w:sz w:val="17"/>
                <w:szCs w:val="17"/>
              </w:rPr>
              <w:t>Productivity</w:t>
            </w:r>
          </w:p>
        </w:tc>
        <w:tc>
          <w:tcPr>
            <w:tcW w:w="0" w:type="auto"/>
            <w:tcMar>
              <w:top w:w="60" w:type="dxa"/>
              <w:left w:w="100" w:type="dxa"/>
              <w:bottom w:w="60" w:type="dxa"/>
              <w:right w:w="100" w:type="dxa"/>
            </w:tcMar>
            <w:vAlign w:val="center"/>
          </w:tcPr>
          <w:p w14:paraId="4FACA0A7" w14:textId="77777777" w:rsidR="00386890" w:rsidRDefault="00000000">
            <w:r>
              <w:rPr>
                <w:sz w:val="17"/>
                <w:szCs w:val="17"/>
              </w:rPr>
              <w:t>Often faster on thick coatings / large areas</w:t>
            </w:r>
          </w:p>
        </w:tc>
        <w:tc>
          <w:tcPr>
            <w:tcW w:w="0" w:type="auto"/>
            <w:tcMar>
              <w:top w:w="60" w:type="dxa"/>
              <w:left w:w="100" w:type="dxa"/>
              <w:bottom w:w="60" w:type="dxa"/>
              <w:right w:w="100" w:type="dxa"/>
            </w:tcMar>
            <w:vAlign w:val="center"/>
          </w:tcPr>
          <w:p w14:paraId="2C9C0A8D" w14:textId="77777777" w:rsidR="00386890" w:rsidRDefault="00000000">
            <w:r>
              <w:rPr>
                <w:sz w:val="17"/>
                <w:szCs w:val="17"/>
              </w:rPr>
              <w:t>Often slower on thick layers; advantage on complex zones / precision weld prep</w:t>
            </w:r>
          </w:p>
        </w:tc>
      </w:tr>
      <w:tr w:rsidR="00386890" w14:paraId="685154B5" w14:textId="77777777">
        <w:tblPrEx>
          <w:tblCellMar>
            <w:top w:w="0" w:type="dxa"/>
            <w:bottom w:w="0" w:type="dxa"/>
          </w:tblCellMar>
        </w:tblPrEx>
        <w:tc>
          <w:tcPr>
            <w:tcW w:w="0" w:type="auto"/>
            <w:tcMar>
              <w:top w:w="60" w:type="dxa"/>
              <w:left w:w="100" w:type="dxa"/>
              <w:bottom w:w="60" w:type="dxa"/>
              <w:right w:w="100" w:type="dxa"/>
            </w:tcMar>
            <w:vAlign w:val="center"/>
          </w:tcPr>
          <w:p w14:paraId="2C8A5A4B" w14:textId="77777777" w:rsidR="00386890" w:rsidRDefault="00000000">
            <w:r>
              <w:rPr>
                <w:sz w:val="17"/>
                <w:szCs w:val="17"/>
              </w:rPr>
              <w:t>Training</w:t>
            </w:r>
          </w:p>
        </w:tc>
        <w:tc>
          <w:tcPr>
            <w:tcW w:w="0" w:type="auto"/>
            <w:tcMar>
              <w:top w:w="60" w:type="dxa"/>
              <w:left w:w="100" w:type="dxa"/>
              <w:bottom w:w="60" w:type="dxa"/>
              <w:right w:w="100" w:type="dxa"/>
            </w:tcMar>
            <w:vAlign w:val="center"/>
          </w:tcPr>
          <w:p w14:paraId="52B6C962" w14:textId="77777777" w:rsidR="00386890" w:rsidRDefault="00000000">
            <w:r>
              <w:rPr>
                <w:sz w:val="17"/>
                <w:szCs w:val="17"/>
              </w:rPr>
              <w:t>Abrasive-wheel competence / PUWER-equivalent</w:t>
            </w:r>
          </w:p>
        </w:tc>
        <w:tc>
          <w:tcPr>
            <w:tcW w:w="0" w:type="auto"/>
            <w:tcMar>
              <w:top w:w="60" w:type="dxa"/>
              <w:left w:w="100" w:type="dxa"/>
              <w:bottom w:w="60" w:type="dxa"/>
              <w:right w:w="100" w:type="dxa"/>
            </w:tcMar>
            <w:vAlign w:val="center"/>
          </w:tcPr>
          <w:p w14:paraId="4958A225" w14:textId="77777777" w:rsidR="00386890" w:rsidRDefault="00000000">
            <w:r>
              <w:rPr>
                <w:sz w:val="17"/>
                <w:szCs w:val="17"/>
              </w:rPr>
              <w:t>Manufacturer laser training plus site procedures</w:t>
            </w:r>
          </w:p>
        </w:tc>
      </w:tr>
    </w:tbl>
    <w:p w14:paraId="132B99D8" w14:textId="77777777" w:rsidR="00386890" w:rsidRDefault="00000000">
      <w:pPr>
        <w:pStyle w:val="Heading2"/>
        <w:spacing w:before="260" w:after="140"/>
      </w:pPr>
      <w:bookmarkStart w:id="16" w:name="_Toc240012155"/>
      <w:r>
        <w:rPr>
          <w:b/>
          <w:bCs/>
          <w:sz w:val="23"/>
          <w:szCs w:val="23"/>
        </w:rPr>
        <w:t>6.2 Why continuity of use determines ROI</w:t>
      </w:r>
      <w:bookmarkEnd w:id="16"/>
    </w:p>
    <w:p w14:paraId="0AB9B123" w14:textId="77777777" w:rsidR="00386890" w:rsidRDefault="00000000">
      <w:pPr>
        <w:spacing w:after="160"/>
      </w:pPr>
      <w:r>
        <w:t xml:space="preserve">The capital and training cost of a laser-cleaning system is fixed and front-loaded; its running cost per hour of operation is comparatively low (energy, filters, recalibration) once purchased. This cost structure means the </w:t>
      </w:r>
      <w:r>
        <w:rPr>
          <w:b/>
          <w:bCs/>
        </w:rPr>
        <w:t>effective cost per cleaned square metre falls as utilization rises</w:t>
      </w:r>
      <w:r>
        <w:t xml:space="preserve"> — the opposite of an angle grinder, whose cost is dominated by per-use consumables and scales roughly linearly with activity regardless of how continuously it is scheduled.</w:t>
      </w:r>
    </w:p>
    <w:p w14:paraId="10CD5200" w14:textId="77777777" w:rsidR="00386890" w:rsidRDefault="00000000">
      <w:pPr>
        <w:spacing w:after="160"/>
      </w:pPr>
      <w:r>
        <w:t>Three consequences follow directly from this structure, and they are the core of the business case:</w:t>
      </w:r>
    </w:p>
    <w:p w14:paraId="2FCF8C03" w14:textId="77777777" w:rsidR="00386890" w:rsidRDefault="00000000">
      <w:pPr>
        <w:spacing w:after="160"/>
      </w:pPr>
      <w:r>
        <w:t>1. Idle capital is the main risk to the payback, not the machine's unit cost. A Needle system kept in a container as a backup tool for "hard cases" carries its full capex and training cost while working a fraction of the hours needed to amortize it — this is the scenario most likely to produce a negative ROI and an unfair verdict on the technology itself.</w:t>
      </w:r>
    </w:p>
    <w:p w14:paraId="483B29E7" w14:textId="77777777" w:rsidR="00386890" w:rsidRDefault="00000000">
      <w:pPr>
        <w:spacing w:after="160"/>
      </w:pPr>
      <w:r>
        <w:t xml:space="preserve">2. Value comes from displacing angle-grinder hours across the full surface-prep workload of both rigs, not from a narrow set of showcase tasks (precision weld cleaning alone, for instance). The wider the share of grinding hours the laser tool </w:t>
      </w:r>
      <w:proofErr w:type="gramStart"/>
      <w:r>
        <w:t>actually absorbs</w:t>
      </w:r>
      <w:proofErr w:type="gramEnd"/>
      <w:r>
        <w:t>, the faster the fixed cost is recovered.</w:t>
      </w:r>
    </w:p>
    <w:p w14:paraId="20C36274" w14:textId="77777777" w:rsidR="00386890" w:rsidRDefault="00000000">
      <w:pPr>
        <w:spacing w:after="160"/>
      </w:pPr>
      <w:r>
        <w:t>3. Continuous use also compounds the HSE and quality benefits: a tool used daily generates the operating discipline, trained-operator depth, and process data (cycle times, parameter settings per coating type) that make it reliable and fast — benefits that a rarely used machine, and its rarely practiced operators, will not realize.</w:t>
      </w:r>
    </w:p>
    <w:p w14:paraId="02A4C653" w14:textId="77777777" w:rsidR="00386890" w:rsidRDefault="00000000">
      <w:pPr>
        <w:spacing w:after="160"/>
      </w:pPr>
      <w:r>
        <w:t xml:space="preserve">The practical implication for planning: the laser-cleaning investment should be evaluated, and if adopted, scheduled, as </w:t>
      </w:r>
      <w:r>
        <w:rPr>
          <w:b/>
          <w:bCs/>
        </w:rPr>
        <w:t>standard equipment integrated into the routine maintenance program of both rigs</w:t>
      </w:r>
      <w:r>
        <w:t>, not as a specialty tool reserved for exceptional cases. A pilot designed around occasional or showcase use will systematically understate both the safety benefit and the return on investment.</w:t>
      </w:r>
    </w:p>
    <w:p w14:paraId="06590AE3" w14:textId="77777777" w:rsidR="00386890" w:rsidRDefault="00000000">
      <w:pPr>
        <w:pStyle w:val="Heading2"/>
        <w:spacing w:before="260" w:after="140"/>
      </w:pPr>
      <w:bookmarkStart w:id="17" w:name="_Toc240012156"/>
      <w:r>
        <w:rPr>
          <w:b/>
          <w:bCs/>
          <w:sz w:val="23"/>
          <w:szCs w:val="23"/>
        </w:rPr>
        <w:t>6.3 Scenario logic — low vs. high utilization</w:t>
      </w:r>
      <w:bookmarkEnd w:id="17"/>
    </w:p>
    <w:p w14:paraId="21036ACE" w14:textId="77777777" w:rsidR="00386890" w:rsidRDefault="00000000">
      <w:pPr>
        <w:spacing w:after="160"/>
      </w:pPr>
      <w:r>
        <w:t>No invented monetary figures are used here — the two scenarios below are a qualitative decision framework, tagged (c) working hypothesis, meant to guide how the pilot in Section 8 should be designed and read, not to substitute for it.</w:t>
      </w:r>
    </w:p>
    <w:tbl>
      <w:tblPr>
        <w:tblW w:w="9400" w:type="dxa"/>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CellMar>
          <w:left w:w="10" w:type="dxa"/>
          <w:right w:w="10" w:type="dxa"/>
        </w:tblCellMar>
        <w:tblLook w:val="0000" w:firstRow="0" w:lastRow="0" w:firstColumn="0" w:lastColumn="0" w:noHBand="0" w:noVBand="0"/>
      </w:tblPr>
      <w:tblGrid>
        <w:gridCol w:w="2051"/>
        <w:gridCol w:w="3591"/>
        <w:gridCol w:w="3758"/>
      </w:tblGrid>
      <w:tr w:rsidR="00386890" w14:paraId="06E032DD" w14:textId="77777777">
        <w:tblPrEx>
          <w:tblCellMar>
            <w:top w:w="0" w:type="dxa"/>
            <w:bottom w:w="0" w:type="dxa"/>
          </w:tblCellMar>
        </w:tblPrEx>
        <w:tc>
          <w:tcPr>
            <w:tcW w:w="0" w:type="auto"/>
            <w:shd w:val="clear" w:color="auto" w:fill="E8E8E8"/>
            <w:tcMar>
              <w:top w:w="60" w:type="dxa"/>
              <w:left w:w="100" w:type="dxa"/>
              <w:bottom w:w="60" w:type="dxa"/>
              <w:right w:w="100" w:type="dxa"/>
            </w:tcMar>
            <w:vAlign w:val="center"/>
          </w:tcPr>
          <w:p w14:paraId="1B251E20" w14:textId="77777777" w:rsidR="00386890" w:rsidRDefault="00000000">
            <w:r>
              <w:rPr>
                <w:b/>
                <w:bCs/>
                <w:sz w:val="17"/>
                <w:szCs w:val="17"/>
              </w:rPr>
              <w:t>Utilization pattern</w:t>
            </w:r>
          </w:p>
        </w:tc>
        <w:tc>
          <w:tcPr>
            <w:tcW w:w="0" w:type="auto"/>
            <w:shd w:val="clear" w:color="auto" w:fill="E8E8E8"/>
            <w:tcMar>
              <w:top w:w="60" w:type="dxa"/>
              <w:left w:w="100" w:type="dxa"/>
              <w:bottom w:w="60" w:type="dxa"/>
              <w:right w:w="100" w:type="dxa"/>
            </w:tcMar>
            <w:vAlign w:val="center"/>
          </w:tcPr>
          <w:p w14:paraId="7A0173C9" w14:textId="77777777" w:rsidR="00386890" w:rsidRDefault="00000000">
            <w:r>
              <w:rPr>
                <w:b/>
                <w:bCs/>
                <w:sz w:val="17"/>
                <w:szCs w:val="17"/>
              </w:rPr>
              <w:t>Expected payback trajectory</w:t>
            </w:r>
          </w:p>
        </w:tc>
        <w:tc>
          <w:tcPr>
            <w:tcW w:w="0" w:type="auto"/>
            <w:shd w:val="clear" w:color="auto" w:fill="E8E8E8"/>
            <w:tcMar>
              <w:top w:w="60" w:type="dxa"/>
              <w:left w:w="100" w:type="dxa"/>
              <w:bottom w:w="60" w:type="dxa"/>
              <w:right w:w="100" w:type="dxa"/>
            </w:tcMar>
            <w:vAlign w:val="center"/>
          </w:tcPr>
          <w:p w14:paraId="24C3CEC5" w14:textId="77777777" w:rsidR="00386890" w:rsidRDefault="00000000">
            <w:r>
              <w:rPr>
                <w:b/>
                <w:bCs/>
                <w:sz w:val="17"/>
                <w:szCs w:val="17"/>
              </w:rPr>
              <w:t>Expected HSE / quality outcome</w:t>
            </w:r>
          </w:p>
        </w:tc>
      </w:tr>
      <w:tr w:rsidR="00386890" w14:paraId="3280260F" w14:textId="77777777">
        <w:tblPrEx>
          <w:tblCellMar>
            <w:top w:w="0" w:type="dxa"/>
            <w:bottom w:w="0" w:type="dxa"/>
          </w:tblCellMar>
        </w:tblPrEx>
        <w:tc>
          <w:tcPr>
            <w:tcW w:w="0" w:type="auto"/>
            <w:tcMar>
              <w:top w:w="60" w:type="dxa"/>
              <w:left w:w="100" w:type="dxa"/>
              <w:bottom w:w="60" w:type="dxa"/>
              <w:right w:w="100" w:type="dxa"/>
            </w:tcMar>
            <w:vAlign w:val="center"/>
          </w:tcPr>
          <w:p w14:paraId="620BECD9" w14:textId="77777777" w:rsidR="00386890" w:rsidRDefault="00000000">
            <w:r>
              <w:rPr>
                <w:sz w:val="17"/>
                <w:szCs w:val="17"/>
              </w:rPr>
              <w:t>Low — occasional / showcase use, backup role</w:t>
            </w:r>
          </w:p>
        </w:tc>
        <w:tc>
          <w:tcPr>
            <w:tcW w:w="0" w:type="auto"/>
            <w:tcMar>
              <w:top w:w="60" w:type="dxa"/>
              <w:left w:w="100" w:type="dxa"/>
              <w:bottom w:w="60" w:type="dxa"/>
              <w:right w:w="100" w:type="dxa"/>
            </w:tcMar>
            <w:vAlign w:val="center"/>
          </w:tcPr>
          <w:p w14:paraId="7E8A333E" w14:textId="77777777" w:rsidR="00386890" w:rsidRDefault="00000000">
            <w:r>
              <w:rPr>
                <w:sz w:val="17"/>
                <w:szCs w:val="17"/>
              </w:rPr>
              <w:t xml:space="preserve">Capex and training cost poorly amortized; </w:t>
            </w:r>
            <w:proofErr w:type="spellStart"/>
            <w:r>
              <w:rPr>
                <w:sz w:val="17"/>
                <w:szCs w:val="17"/>
              </w:rPr>
              <w:t>opex</w:t>
            </w:r>
            <w:proofErr w:type="spellEnd"/>
            <w:r>
              <w:rPr>
                <w:sz w:val="17"/>
                <w:szCs w:val="17"/>
              </w:rPr>
              <w:t xml:space="preserve"> savings marginal; payback likely does not close within 5 years</w:t>
            </w:r>
          </w:p>
        </w:tc>
        <w:tc>
          <w:tcPr>
            <w:tcW w:w="0" w:type="auto"/>
            <w:tcMar>
              <w:top w:w="60" w:type="dxa"/>
              <w:left w:w="100" w:type="dxa"/>
              <w:bottom w:w="60" w:type="dxa"/>
              <w:right w:w="100" w:type="dxa"/>
            </w:tcMar>
            <w:vAlign w:val="center"/>
          </w:tcPr>
          <w:p w14:paraId="16DCDFBD" w14:textId="77777777" w:rsidR="00386890" w:rsidRDefault="00000000">
            <w:r>
              <w:rPr>
                <w:sz w:val="17"/>
                <w:szCs w:val="17"/>
              </w:rPr>
              <w:t>Operators retain low practice; grinder hours barely reduced; dust and injury exposure largely unchanged</w:t>
            </w:r>
          </w:p>
        </w:tc>
      </w:tr>
      <w:tr w:rsidR="00386890" w14:paraId="5AF07593" w14:textId="77777777">
        <w:tblPrEx>
          <w:tblCellMar>
            <w:top w:w="0" w:type="dxa"/>
            <w:bottom w:w="0" w:type="dxa"/>
          </w:tblCellMar>
        </w:tblPrEx>
        <w:tc>
          <w:tcPr>
            <w:tcW w:w="0" w:type="auto"/>
            <w:tcMar>
              <w:top w:w="60" w:type="dxa"/>
              <w:left w:w="100" w:type="dxa"/>
              <w:bottom w:w="60" w:type="dxa"/>
              <w:right w:w="100" w:type="dxa"/>
            </w:tcMar>
            <w:vAlign w:val="center"/>
          </w:tcPr>
          <w:p w14:paraId="7940E377" w14:textId="77777777" w:rsidR="00386890" w:rsidRDefault="00000000">
            <w:r>
              <w:rPr>
                <w:sz w:val="17"/>
                <w:szCs w:val="17"/>
              </w:rPr>
              <w:t>High — near-continuous, scheduled into routine surface prep on both rigs</w:t>
            </w:r>
          </w:p>
        </w:tc>
        <w:tc>
          <w:tcPr>
            <w:tcW w:w="0" w:type="auto"/>
            <w:tcMar>
              <w:top w:w="60" w:type="dxa"/>
              <w:left w:w="100" w:type="dxa"/>
              <w:bottom w:w="60" w:type="dxa"/>
              <w:right w:w="100" w:type="dxa"/>
            </w:tcMar>
            <w:vAlign w:val="center"/>
          </w:tcPr>
          <w:p w14:paraId="49633A26" w14:textId="77777777" w:rsidR="00386890" w:rsidRDefault="00000000">
            <w:r>
              <w:rPr>
                <w:sz w:val="17"/>
                <w:szCs w:val="17"/>
              </w:rPr>
              <w:t>Fixed cost spread over a large volume of displaced grinder hours; running cost stays low; payback plausible within the 5-year horizon, subject to pilot confirmation</w:t>
            </w:r>
          </w:p>
        </w:tc>
        <w:tc>
          <w:tcPr>
            <w:tcW w:w="0" w:type="auto"/>
            <w:tcMar>
              <w:top w:w="60" w:type="dxa"/>
              <w:left w:w="100" w:type="dxa"/>
              <w:bottom w:w="60" w:type="dxa"/>
              <w:right w:w="100" w:type="dxa"/>
            </w:tcMar>
            <w:vAlign w:val="center"/>
          </w:tcPr>
          <w:p w14:paraId="7EBAAF9F" w14:textId="77777777" w:rsidR="00386890" w:rsidRDefault="00000000">
            <w:r>
              <w:rPr>
                <w:sz w:val="17"/>
                <w:szCs w:val="17"/>
              </w:rPr>
              <w:t>Sustained operator competence, faster cycle times from practice, materially reduced grinder exposure and dust generation (conditional on extraction sizing per Section 3.2)</w:t>
            </w:r>
          </w:p>
        </w:tc>
      </w:tr>
    </w:tbl>
    <w:p w14:paraId="55DB6A2F" w14:textId="77777777" w:rsidR="00386890" w:rsidRDefault="00000000">
      <w:pPr>
        <w:spacing w:after="160"/>
      </w:pPr>
      <w:r>
        <w:t>The pilot proposed in Section 8 should therefore be designed to test the high-utilization scenario deliberately — scheduling the tool into a meaningful share of real surface-prep hours on both rigs for the pilot period — rather than defaulting to occasional trial use, which would only validate the low-utilization scenario and understate the technology's case.</w:t>
      </w:r>
    </w:p>
    <w:p w14:paraId="5D85687C" w14:textId="77777777" w:rsidR="00386890" w:rsidRDefault="00000000">
      <w:pPr>
        <w:pStyle w:val="Heading1"/>
        <w:spacing w:before="360" w:after="200"/>
      </w:pPr>
      <w:bookmarkStart w:id="18" w:name="_Toc240012157"/>
      <w:r>
        <w:rPr>
          <w:b/>
          <w:bCs/>
          <w:sz w:val="26"/>
          <w:szCs w:val="26"/>
        </w:rPr>
        <w:t>7. Alternative Methods Considered</w:t>
      </w:r>
      <w:bookmarkEnd w:id="18"/>
    </w:p>
    <w:tbl>
      <w:tblPr>
        <w:tblW w:w="9400" w:type="dxa"/>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CellMar>
          <w:left w:w="10" w:type="dxa"/>
          <w:right w:w="10" w:type="dxa"/>
        </w:tblCellMar>
        <w:tblLook w:val="0000" w:firstRow="0" w:lastRow="0" w:firstColumn="0" w:lastColumn="0" w:noHBand="0" w:noVBand="0"/>
      </w:tblPr>
      <w:tblGrid>
        <w:gridCol w:w="2113"/>
        <w:gridCol w:w="2597"/>
        <w:gridCol w:w="4690"/>
      </w:tblGrid>
      <w:tr w:rsidR="00386890" w14:paraId="7417247C" w14:textId="77777777">
        <w:tblPrEx>
          <w:tblCellMar>
            <w:top w:w="0" w:type="dxa"/>
            <w:bottom w:w="0" w:type="dxa"/>
          </w:tblCellMar>
        </w:tblPrEx>
        <w:tc>
          <w:tcPr>
            <w:tcW w:w="0" w:type="auto"/>
            <w:shd w:val="clear" w:color="auto" w:fill="E8E8E8"/>
            <w:tcMar>
              <w:top w:w="60" w:type="dxa"/>
              <w:left w:w="100" w:type="dxa"/>
              <w:bottom w:w="60" w:type="dxa"/>
              <w:right w:w="100" w:type="dxa"/>
            </w:tcMar>
            <w:vAlign w:val="center"/>
          </w:tcPr>
          <w:p w14:paraId="62064DF6" w14:textId="77777777" w:rsidR="00386890" w:rsidRDefault="00000000">
            <w:r>
              <w:rPr>
                <w:b/>
                <w:bCs/>
                <w:sz w:val="17"/>
                <w:szCs w:val="17"/>
              </w:rPr>
              <w:t>Method</w:t>
            </w:r>
          </w:p>
        </w:tc>
        <w:tc>
          <w:tcPr>
            <w:tcW w:w="0" w:type="auto"/>
            <w:shd w:val="clear" w:color="auto" w:fill="E8E8E8"/>
            <w:tcMar>
              <w:top w:w="60" w:type="dxa"/>
              <w:left w:w="100" w:type="dxa"/>
              <w:bottom w:w="60" w:type="dxa"/>
              <w:right w:w="100" w:type="dxa"/>
            </w:tcMar>
            <w:vAlign w:val="center"/>
          </w:tcPr>
          <w:p w14:paraId="26E9CC4E" w14:textId="77777777" w:rsidR="00386890" w:rsidRDefault="00000000">
            <w:r>
              <w:rPr>
                <w:b/>
                <w:bCs/>
                <w:sz w:val="17"/>
                <w:szCs w:val="17"/>
              </w:rPr>
              <w:t>Interest</w:t>
            </w:r>
          </w:p>
        </w:tc>
        <w:tc>
          <w:tcPr>
            <w:tcW w:w="0" w:type="auto"/>
            <w:shd w:val="clear" w:color="auto" w:fill="E8E8E8"/>
            <w:tcMar>
              <w:top w:w="60" w:type="dxa"/>
              <w:left w:w="100" w:type="dxa"/>
              <w:bottom w:w="60" w:type="dxa"/>
              <w:right w:w="100" w:type="dxa"/>
            </w:tcMar>
            <w:vAlign w:val="center"/>
          </w:tcPr>
          <w:p w14:paraId="724FA26D" w14:textId="77777777" w:rsidR="00386890" w:rsidRDefault="00000000">
            <w:r>
              <w:rPr>
                <w:b/>
                <w:bCs/>
                <w:sz w:val="17"/>
                <w:szCs w:val="17"/>
              </w:rPr>
              <w:t>Limits</w:t>
            </w:r>
          </w:p>
        </w:tc>
      </w:tr>
      <w:tr w:rsidR="00386890" w14:paraId="5905313B" w14:textId="77777777">
        <w:tblPrEx>
          <w:tblCellMar>
            <w:top w:w="0" w:type="dxa"/>
            <w:bottom w:w="0" w:type="dxa"/>
          </w:tblCellMar>
        </w:tblPrEx>
        <w:tc>
          <w:tcPr>
            <w:tcW w:w="0" w:type="auto"/>
            <w:tcMar>
              <w:top w:w="60" w:type="dxa"/>
              <w:left w:w="100" w:type="dxa"/>
              <w:bottom w:w="60" w:type="dxa"/>
              <w:right w:w="100" w:type="dxa"/>
            </w:tcMar>
            <w:vAlign w:val="center"/>
          </w:tcPr>
          <w:p w14:paraId="36DF90AC" w14:textId="77777777" w:rsidR="00386890" w:rsidRDefault="00000000">
            <w:r>
              <w:rPr>
                <w:sz w:val="17"/>
                <w:szCs w:val="17"/>
              </w:rPr>
              <w:lastRenderedPageBreak/>
              <w:t>Induction paint removal</w:t>
            </w:r>
          </w:p>
        </w:tc>
        <w:tc>
          <w:tcPr>
            <w:tcW w:w="0" w:type="auto"/>
            <w:tcMar>
              <w:top w:w="60" w:type="dxa"/>
              <w:left w:w="100" w:type="dxa"/>
              <w:bottom w:w="60" w:type="dxa"/>
              <w:right w:w="100" w:type="dxa"/>
            </w:tcMar>
            <w:vAlign w:val="center"/>
          </w:tcPr>
          <w:p w14:paraId="39BDF86B" w14:textId="77777777" w:rsidR="00386890" w:rsidRDefault="00000000">
            <w:r>
              <w:rPr>
                <w:sz w:val="17"/>
                <w:szCs w:val="17"/>
              </w:rPr>
              <w:t>Effective on thick coatings, little grit</w:t>
            </w:r>
          </w:p>
        </w:tc>
        <w:tc>
          <w:tcPr>
            <w:tcW w:w="0" w:type="auto"/>
            <w:tcMar>
              <w:top w:w="60" w:type="dxa"/>
              <w:left w:w="100" w:type="dxa"/>
              <w:bottom w:w="60" w:type="dxa"/>
              <w:right w:w="100" w:type="dxa"/>
            </w:tcMar>
            <w:vAlign w:val="center"/>
          </w:tcPr>
          <w:p w14:paraId="47EFE3DB" w14:textId="77777777" w:rsidR="00386890" w:rsidRDefault="00000000">
            <w:r>
              <w:rPr>
                <w:sz w:val="17"/>
                <w:szCs w:val="17"/>
              </w:rPr>
              <w:t>Leaves debris; often needs a follow-up sweep blast</w:t>
            </w:r>
          </w:p>
        </w:tc>
      </w:tr>
      <w:tr w:rsidR="00386890" w14:paraId="0E830109" w14:textId="77777777">
        <w:tblPrEx>
          <w:tblCellMar>
            <w:top w:w="0" w:type="dxa"/>
            <w:bottom w:w="0" w:type="dxa"/>
          </w:tblCellMar>
        </w:tblPrEx>
        <w:tc>
          <w:tcPr>
            <w:tcW w:w="0" w:type="auto"/>
            <w:tcMar>
              <w:top w:w="60" w:type="dxa"/>
              <w:left w:w="100" w:type="dxa"/>
              <w:bottom w:w="60" w:type="dxa"/>
              <w:right w:w="100" w:type="dxa"/>
            </w:tcMar>
            <w:vAlign w:val="center"/>
          </w:tcPr>
          <w:p w14:paraId="373E9B1F" w14:textId="77777777" w:rsidR="00386890" w:rsidRDefault="00000000">
            <w:r>
              <w:rPr>
                <w:sz w:val="17"/>
                <w:szCs w:val="17"/>
              </w:rPr>
              <w:t>Dry ice blasting</w:t>
            </w:r>
          </w:p>
        </w:tc>
        <w:tc>
          <w:tcPr>
            <w:tcW w:w="0" w:type="auto"/>
            <w:tcMar>
              <w:top w:w="60" w:type="dxa"/>
              <w:left w:w="100" w:type="dxa"/>
              <w:bottom w:w="60" w:type="dxa"/>
              <w:right w:w="100" w:type="dxa"/>
            </w:tcMar>
            <w:vAlign w:val="center"/>
          </w:tcPr>
          <w:p w14:paraId="77D1C34F" w14:textId="77777777" w:rsidR="00386890" w:rsidRDefault="00000000">
            <w:r>
              <w:rPr>
                <w:sz w:val="17"/>
                <w:szCs w:val="17"/>
              </w:rPr>
              <w:t>Little abrasive residue</w:t>
            </w:r>
          </w:p>
        </w:tc>
        <w:tc>
          <w:tcPr>
            <w:tcW w:w="0" w:type="auto"/>
            <w:tcMar>
              <w:top w:w="60" w:type="dxa"/>
              <w:left w:w="100" w:type="dxa"/>
              <w:bottom w:w="60" w:type="dxa"/>
              <w:right w:w="100" w:type="dxa"/>
            </w:tcMar>
            <w:vAlign w:val="center"/>
          </w:tcPr>
          <w:p w14:paraId="453E9FBD" w14:textId="77777777" w:rsidR="00386890" w:rsidRDefault="00000000">
            <w:r>
              <w:rPr>
                <w:sz w:val="17"/>
                <w:szCs w:val="17"/>
              </w:rPr>
              <w:t>Noise, cold exposure, asphyxiation risk in confined spaces, CO₂ cost</w:t>
            </w:r>
          </w:p>
        </w:tc>
      </w:tr>
      <w:tr w:rsidR="00386890" w14:paraId="669B328A" w14:textId="77777777">
        <w:tblPrEx>
          <w:tblCellMar>
            <w:top w:w="0" w:type="dxa"/>
            <w:bottom w:w="0" w:type="dxa"/>
          </w:tblCellMar>
        </w:tblPrEx>
        <w:tc>
          <w:tcPr>
            <w:tcW w:w="0" w:type="auto"/>
            <w:tcMar>
              <w:top w:w="60" w:type="dxa"/>
              <w:left w:w="100" w:type="dxa"/>
              <w:bottom w:w="60" w:type="dxa"/>
              <w:right w:w="100" w:type="dxa"/>
            </w:tcMar>
            <w:vAlign w:val="center"/>
          </w:tcPr>
          <w:p w14:paraId="52CB74E9" w14:textId="77777777" w:rsidR="00386890" w:rsidRDefault="00000000">
            <w:r>
              <w:rPr>
                <w:sz w:val="17"/>
                <w:szCs w:val="17"/>
              </w:rPr>
              <w:t>Ultra-high-pressure waterjet</w:t>
            </w:r>
          </w:p>
        </w:tc>
        <w:tc>
          <w:tcPr>
            <w:tcW w:w="0" w:type="auto"/>
            <w:tcMar>
              <w:top w:w="60" w:type="dxa"/>
              <w:left w:w="100" w:type="dxa"/>
              <w:bottom w:w="60" w:type="dxa"/>
              <w:right w:w="100" w:type="dxa"/>
            </w:tcMar>
            <w:vAlign w:val="center"/>
          </w:tcPr>
          <w:p w14:paraId="6250E2CA" w14:textId="77777777" w:rsidR="00386890" w:rsidRDefault="00000000">
            <w:r>
              <w:rPr>
                <w:sz w:val="17"/>
                <w:szCs w:val="17"/>
              </w:rPr>
              <w:t>No silica-bearing abrasive</w:t>
            </w:r>
          </w:p>
        </w:tc>
        <w:tc>
          <w:tcPr>
            <w:tcW w:w="0" w:type="auto"/>
            <w:tcMar>
              <w:top w:w="60" w:type="dxa"/>
              <w:left w:w="100" w:type="dxa"/>
              <w:bottom w:w="60" w:type="dxa"/>
              <w:right w:w="100" w:type="dxa"/>
            </w:tcMar>
            <w:vAlign w:val="center"/>
          </w:tcPr>
          <w:p w14:paraId="5419388C" w14:textId="77777777" w:rsidR="00386890" w:rsidRDefault="00000000">
            <w:r>
              <w:rPr>
                <w:sz w:val="17"/>
                <w:szCs w:val="17"/>
              </w:rPr>
              <w:t>Effluent handling, high-pressure jet hazard, electrical needs</w:t>
            </w:r>
          </w:p>
        </w:tc>
      </w:tr>
      <w:tr w:rsidR="00386890" w14:paraId="10E4507D" w14:textId="77777777">
        <w:tblPrEx>
          <w:tblCellMar>
            <w:top w:w="0" w:type="dxa"/>
            <w:bottom w:w="0" w:type="dxa"/>
          </w:tblCellMar>
        </w:tblPrEx>
        <w:tc>
          <w:tcPr>
            <w:tcW w:w="0" w:type="auto"/>
            <w:tcMar>
              <w:top w:w="60" w:type="dxa"/>
              <w:left w:w="100" w:type="dxa"/>
              <w:bottom w:w="60" w:type="dxa"/>
              <w:right w:w="100" w:type="dxa"/>
            </w:tcMar>
            <w:vAlign w:val="center"/>
          </w:tcPr>
          <w:p w14:paraId="6AEED69C" w14:textId="77777777" w:rsidR="00386890" w:rsidRDefault="00000000">
            <w:r>
              <w:rPr>
                <w:sz w:val="17"/>
                <w:szCs w:val="17"/>
              </w:rPr>
              <w:t>Needle guns / scalers</w:t>
            </w:r>
          </w:p>
        </w:tc>
        <w:tc>
          <w:tcPr>
            <w:tcW w:w="0" w:type="auto"/>
            <w:tcMar>
              <w:top w:w="60" w:type="dxa"/>
              <w:left w:w="100" w:type="dxa"/>
              <w:bottom w:w="60" w:type="dxa"/>
              <w:right w:w="100" w:type="dxa"/>
            </w:tcMar>
            <w:vAlign w:val="center"/>
          </w:tcPr>
          <w:p w14:paraId="67AC0FE3" w14:textId="77777777" w:rsidR="00386890" w:rsidRDefault="00000000">
            <w:r>
              <w:rPr>
                <w:sz w:val="17"/>
                <w:szCs w:val="17"/>
              </w:rPr>
              <w:t>Good for localized work</w:t>
            </w:r>
          </w:p>
        </w:tc>
        <w:tc>
          <w:tcPr>
            <w:tcW w:w="0" w:type="auto"/>
            <w:tcMar>
              <w:top w:w="60" w:type="dxa"/>
              <w:left w:w="100" w:type="dxa"/>
              <w:bottom w:w="60" w:type="dxa"/>
              <w:right w:w="100" w:type="dxa"/>
            </w:tcMar>
            <w:vAlign w:val="center"/>
          </w:tcPr>
          <w:p w14:paraId="4EEA62FD" w14:textId="77777777" w:rsidR="00386890" w:rsidRDefault="00000000">
            <w:r>
              <w:rPr>
                <w:sz w:val="17"/>
                <w:szCs w:val="17"/>
              </w:rPr>
              <w:t>High HAVS exposure</w:t>
            </w:r>
          </w:p>
        </w:tc>
      </w:tr>
      <w:tr w:rsidR="00386890" w14:paraId="4F483023" w14:textId="77777777">
        <w:tblPrEx>
          <w:tblCellMar>
            <w:top w:w="0" w:type="dxa"/>
            <w:bottom w:w="0" w:type="dxa"/>
          </w:tblCellMar>
        </w:tblPrEx>
        <w:tc>
          <w:tcPr>
            <w:tcW w:w="0" w:type="auto"/>
            <w:tcMar>
              <w:top w:w="60" w:type="dxa"/>
              <w:left w:w="100" w:type="dxa"/>
              <w:bottom w:w="60" w:type="dxa"/>
              <w:right w:w="100" w:type="dxa"/>
            </w:tcMar>
            <w:vAlign w:val="center"/>
          </w:tcPr>
          <w:p w14:paraId="21F09751" w14:textId="77777777" w:rsidR="00386890" w:rsidRDefault="00000000">
            <w:r>
              <w:rPr>
                <w:sz w:val="17"/>
                <w:szCs w:val="17"/>
              </w:rPr>
              <w:t>Grit blasting</w:t>
            </w:r>
          </w:p>
        </w:tc>
        <w:tc>
          <w:tcPr>
            <w:tcW w:w="0" w:type="auto"/>
            <w:tcMar>
              <w:top w:w="60" w:type="dxa"/>
              <w:left w:w="100" w:type="dxa"/>
              <w:bottom w:w="60" w:type="dxa"/>
              <w:right w:w="100" w:type="dxa"/>
            </w:tcMar>
            <w:vAlign w:val="center"/>
          </w:tcPr>
          <w:p w14:paraId="25E9B1FA" w14:textId="77777777" w:rsidR="00386890" w:rsidRDefault="00000000">
            <w:r>
              <w:rPr>
                <w:sz w:val="17"/>
                <w:szCs w:val="17"/>
              </w:rPr>
              <w:t>Fast, good coating anchorage</w:t>
            </w:r>
          </w:p>
        </w:tc>
        <w:tc>
          <w:tcPr>
            <w:tcW w:w="0" w:type="auto"/>
            <w:tcMar>
              <w:top w:w="60" w:type="dxa"/>
              <w:left w:w="100" w:type="dxa"/>
              <w:bottom w:w="60" w:type="dxa"/>
              <w:right w:w="100" w:type="dxa"/>
            </w:tcMar>
            <w:vAlign w:val="center"/>
          </w:tcPr>
          <w:p w14:paraId="115D9C77" w14:textId="77777777" w:rsidR="00386890" w:rsidRDefault="00000000">
            <w:r>
              <w:rPr>
                <w:sz w:val="17"/>
                <w:szCs w:val="17"/>
              </w:rPr>
              <w:t>Dust and waste generation</w:t>
            </w:r>
          </w:p>
        </w:tc>
      </w:tr>
      <w:tr w:rsidR="00386890" w14:paraId="3C48D809" w14:textId="77777777">
        <w:tblPrEx>
          <w:tblCellMar>
            <w:top w:w="0" w:type="dxa"/>
            <w:bottom w:w="0" w:type="dxa"/>
          </w:tblCellMar>
        </w:tblPrEx>
        <w:tc>
          <w:tcPr>
            <w:tcW w:w="0" w:type="auto"/>
            <w:tcMar>
              <w:top w:w="60" w:type="dxa"/>
              <w:left w:w="100" w:type="dxa"/>
              <w:bottom w:w="60" w:type="dxa"/>
              <w:right w:w="100" w:type="dxa"/>
            </w:tcMar>
            <w:vAlign w:val="center"/>
          </w:tcPr>
          <w:p w14:paraId="1F6B7D51" w14:textId="77777777" w:rsidR="00386890" w:rsidRDefault="00000000">
            <w:r>
              <w:rPr>
                <w:sz w:val="17"/>
                <w:szCs w:val="17"/>
              </w:rPr>
              <w:t>Chemical stripping</w:t>
            </w:r>
          </w:p>
        </w:tc>
        <w:tc>
          <w:tcPr>
            <w:tcW w:w="0" w:type="auto"/>
            <w:tcMar>
              <w:top w:w="60" w:type="dxa"/>
              <w:left w:w="100" w:type="dxa"/>
              <w:bottom w:w="60" w:type="dxa"/>
              <w:right w:w="100" w:type="dxa"/>
            </w:tcMar>
            <w:vAlign w:val="center"/>
          </w:tcPr>
          <w:p w14:paraId="79B354A7" w14:textId="77777777" w:rsidR="00386890" w:rsidRDefault="00000000">
            <w:r>
              <w:rPr>
                <w:sz w:val="17"/>
                <w:szCs w:val="17"/>
              </w:rPr>
              <w:t>Effective on some coatings</w:t>
            </w:r>
          </w:p>
        </w:tc>
        <w:tc>
          <w:tcPr>
            <w:tcW w:w="0" w:type="auto"/>
            <w:tcMar>
              <w:top w:w="60" w:type="dxa"/>
              <w:left w:w="100" w:type="dxa"/>
              <w:bottom w:w="60" w:type="dxa"/>
              <w:right w:w="100" w:type="dxa"/>
            </w:tcMar>
            <w:vAlign w:val="center"/>
          </w:tcPr>
          <w:p w14:paraId="6FC38EC4" w14:textId="77777777" w:rsidR="00386890" w:rsidRDefault="00000000">
            <w:r>
              <w:rPr>
                <w:sz w:val="17"/>
                <w:szCs w:val="17"/>
              </w:rPr>
              <w:t>Toxicity (e.g., dichloromethane-based strippers)</w:t>
            </w:r>
          </w:p>
        </w:tc>
      </w:tr>
    </w:tbl>
    <w:p w14:paraId="51949B39" w14:textId="77777777" w:rsidR="00386890" w:rsidRDefault="00000000">
      <w:pPr>
        <w:spacing w:after="160"/>
      </w:pPr>
      <w:r>
        <w:t>For a rig, the most likely realistic outcome is a mix — laser cleaning for precision zones, welds, and confined access, combined with a mechanical or waterjet method for large, thick surfaces — rather than a full 100% substitution.</w:t>
      </w:r>
    </w:p>
    <w:p w14:paraId="4D13BE43" w14:textId="77777777" w:rsidR="00386890" w:rsidRDefault="00000000">
      <w:pPr>
        <w:pStyle w:val="Heading1"/>
        <w:spacing w:before="360" w:after="200"/>
      </w:pPr>
      <w:bookmarkStart w:id="19" w:name="_Toc240012158"/>
      <w:r>
        <w:rPr>
          <w:b/>
          <w:bCs/>
          <w:sz w:val="26"/>
          <w:szCs w:val="26"/>
        </w:rPr>
        <w:t>8. Recommended Validation / Pilot Plan</w:t>
      </w:r>
      <w:bookmarkEnd w:id="19"/>
    </w:p>
    <w:p w14:paraId="0976E10B" w14:textId="77777777" w:rsidR="00386890" w:rsidRDefault="00000000">
      <w:pPr>
        <w:spacing w:after="160"/>
      </w:pPr>
      <w:r>
        <w:t>1. Map actual angle-grinder tasks on both rigs (hours/year, surface types).</w:t>
      </w:r>
    </w:p>
    <w:p w14:paraId="30A40829" w14:textId="77777777" w:rsidR="00386890" w:rsidRDefault="00000000">
      <w:pPr>
        <w:spacing w:after="160"/>
      </w:pPr>
      <w:r>
        <w:t xml:space="preserve">2. Request from </w:t>
      </w:r>
      <w:proofErr w:type="spellStart"/>
      <w:r>
        <w:t>Netalux</w:t>
      </w:r>
      <w:proofErr w:type="spellEnd"/>
      <w:r>
        <w:t>, in writing: rated extraction flow, filtration grade, and trial results on representative site coupons (rust/paint as found on site) — with the understanding, per Section 0, that this is a technical due-diligence request, not an endorsement.</w:t>
      </w:r>
    </w:p>
    <w:p w14:paraId="1FD9EA55" w14:textId="77777777" w:rsidR="00386890" w:rsidRDefault="00000000">
      <w:pPr>
        <w:spacing w:after="160"/>
      </w:pPr>
      <w:r>
        <w:t>3. Run a 3–</w:t>
      </w:r>
      <w:proofErr w:type="gramStart"/>
      <w:r>
        <w:t>6 month</w:t>
      </w:r>
      <w:proofErr w:type="gramEnd"/>
      <w:r>
        <w:t xml:space="preserve"> pilot with one Needle unit, trained operators, and a controlled laser zone, deliberately scheduled toward the high-utilization pattern described in Section 6.3 — not as an occasional backup tool.</w:t>
      </w:r>
    </w:p>
    <w:p w14:paraId="05FF85C4" w14:textId="77777777" w:rsidR="00386890" w:rsidRDefault="00000000">
      <w:pPr>
        <w:spacing w:after="160"/>
      </w:pPr>
      <w:r>
        <w:t>4. Measure: cycle time, quality (remaining thickness, surface profile), dust/fume exposure, near-misses, and full costs.</w:t>
      </w:r>
    </w:p>
    <w:p w14:paraId="36BB5D3C" w14:textId="77777777" w:rsidR="00386890" w:rsidRDefault="00000000">
      <w:pPr>
        <w:spacing w:after="160"/>
      </w:pPr>
      <w:r>
        <w:t>5. Extrapolate a genuine 5-year TCO from these measurements — not before.</w:t>
      </w:r>
    </w:p>
    <w:p w14:paraId="4CF4A701" w14:textId="77777777" w:rsidR="00386890" w:rsidRDefault="00000000">
      <w:pPr>
        <w:spacing w:after="160"/>
      </w:pPr>
      <w:r>
        <w:t>6. Fix the contact-lens policy: laser PPE plus a clear rule (documented conditional authorization under PPE, or a documented local prohibition).</w:t>
      </w:r>
    </w:p>
    <w:p w14:paraId="60B7B3E4" w14:textId="77777777" w:rsidR="00386890" w:rsidRDefault="00000000">
      <w:pPr>
        <w:pStyle w:val="Heading1"/>
        <w:spacing w:before="360" w:after="200"/>
      </w:pPr>
      <w:bookmarkStart w:id="20" w:name="_Toc240012159"/>
      <w:r>
        <w:rPr>
          <w:b/>
          <w:bCs/>
          <w:sz w:val="26"/>
          <w:szCs w:val="26"/>
        </w:rPr>
        <w:t>9. Key Messages for Publication</w:t>
      </w:r>
      <w:bookmarkEnd w:id="20"/>
    </w:p>
    <w:p w14:paraId="027D2C91" w14:textId="77777777" w:rsidR="00386890" w:rsidRDefault="00000000">
      <w:pPr>
        <w:spacing w:after="160"/>
      </w:pPr>
      <w:r>
        <w:t>1. Angle grinders are among the best-documented hazardous handheld tools (UK RoSPA + HSE, INRS, WorkSafe) — without there being a single homogeneous global survey.</w:t>
      </w:r>
    </w:p>
    <w:p w14:paraId="17235806" w14:textId="77777777" w:rsidR="00386890" w:rsidRDefault="00000000">
      <w:pPr>
        <w:spacing w:after="160"/>
      </w:pPr>
      <w:r>
        <w:t>2. Laser cleaning (Class 4), illustrated here by a leading European system, can reduce mechanical risk (no disc) and abrasive dust if extraction is genuinely sized for the task — this is a conditional gain, not an automatic one.</w:t>
      </w:r>
    </w:p>
    <w:p w14:paraId="41F48B24" w14:textId="77777777" w:rsidR="00386890" w:rsidRDefault="00000000">
      <w:pPr>
        <w:spacing w:after="160"/>
      </w:pPr>
      <w:r>
        <w:t>3. Contact lenses provide no protection and are not an advantage: a theoretically increased risk of excessive ocular drying under laser/IR exposure; HSE policy should be to avoid lenses in controlled laser zones. A proven-worse laser injury solely attributable to lens-wear under correct PPE remains [UNCONFIRMED] in the epidemiological literature.</w:t>
      </w:r>
    </w:p>
    <w:p w14:paraId="5D8AADF5" w14:textId="77777777" w:rsidR="00386890" w:rsidRDefault="00000000">
      <w:pPr>
        <w:spacing w:after="160"/>
      </w:pPr>
      <w:r>
        <w:t>4. The five-year comparison is, first, an HSE-and-quality case; the laser capex is justified once a costed pilot on the real tasks of both rigs is complete — and, critically, only if the tool is scheduled into continuous, routine use rather than occasional service.</w:t>
      </w:r>
    </w:p>
    <w:p w14:paraId="2C406D97" w14:textId="77777777" w:rsidR="00386890" w:rsidRDefault="00000000">
      <w:pPr>
        <w:spacing w:after="160"/>
      </w:pPr>
      <w:r>
        <w:t xml:space="preserve">5. Publication: EngEthics, drilling/tooling section; a short HSE excerpt is possible for </w:t>
      </w:r>
      <w:proofErr w:type="spellStart"/>
      <w:r>
        <w:t>Yiha</w:t>
      </w:r>
      <w:proofErr w:type="spellEnd"/>
      <w:r>
        <w:t>.</w:t>
      </w:r>
    </w:p>
    <w:p w14:paraId="3EB90EAD" w14:textId="4047567F" w:rsidR="006807E4" w:rsidRDefault="00000000">
      <w:pPr>
        <w:spacing w:after="160"/>
      </w:pPr>
      <w:r>
        <w:t xml:space="preserve">6. </w:t>
      </w:r>
      <w:proofErr w:type="spellStart"/>
      <w:r>
        <w:t>Netalux</w:t>
      </w:r>
      <w:proofErr w:type="spellEnd"/>
      <w:r>
        <w:t xml:space="preserve"> is referenced as a public, illustrative European example; the author has no economic interest in the company and is not speaking on its behalf (Section 0).</w:t>
      </w:r>
    </w:p>
    <w:p w14:paraId="0BCE11BE" w14:textId="77777777" w:rsidR="006807E4" w:rsidRDefault="006807E4">
      <w:r>
        <w:br w:type="page"/>
      </w:r>
    </w:p>
    <w:p w14:paraId="05F9192C" w14:textId="77777777" w:rsidR="00386890" w:rsidRDefault="00386890">
      <w:pPr>
        <w:spacing w:after="160"/>
      </w:pPr>
    </w:p>
    <w:p w14:paraId="5C74CE00" w14:textId="77777777" w:rsidR="00386890" w:rsidRDefault="00000000">
      <w:pPr>
        <w:pStyle w:val="Heading1"/>
        <w:spacing w:before="360" w:after="200"/>
      </w:pPr>
      <w:bookmarkStart w:id="21" w:name="_Toc240012160"/>
      <w:r>
        <w:rPr>
          <w:b/>
          <w:bCs/>
          <w:sz w:val="26"/>
          <w:szCs w:val="26"/>
        </w:rPr>
        <w:t>10. Definitions of Acronyms</w:t>
      </w:r>
      <w:bookmarkEnd w:id="21"/>
    </w:p>
    <w:tbl>
      <w:tblPr>
        <w:tblW w:w="8800" w:type="dxa"/>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CellMar>
          <w:left w:w="10" w:type="dxa"/>
          <w:right w:w="10" w:type="dxa"/>
        </w:tblCellMar>
        <w:tblLook w:val="0000" w:firstRow="0" w:lastRow="0" w:firstColumn="0" w:lastColumn="0" w:noHBand="0" w:noVBand="0"/>
      </w:tblPr>
      <w:tblGrid>
        <w:gridCol w:w="1302"/>
        <w:gridCol w:w="7498"/>
      </w:tblGrid>
      <w:tr w:rsidR="00386890" w14:paraId="0F81A34C" w14:textId="77777777">
        <w:tblPrEx>
          <w:tblCellMar>
            <w:top w:w="0" w:type="dxa"/>
            <w:bottom w:w="0" w:type="dxa"/>
          </w:tblCellMar>
        </w:tblPrEx>
        <w:tc>
          <w:tcPr>
            <w:tcW w:w="0" w:type="auto"/>
            <w:shd w:val="clear" w:color="auto" w:fill="E8E8E8"/>
            <w:tcMar>
              <w:top w:w="60" w:type="dxa"/>
              <w:left w:w="100" w:type="dxa"/>
              <w:bottom w:w="60" w:type="dxa"/>
              <w:right w:w="100" w:type="dxa"/>
            </w:tcMar>
            <w:vAlign w:val="center"/>
          </w:tcPr>
          <w:p w14:paraId="080FB6F6" w14:textId="77777777" w:rsidR="00386890" w:rsidRDefault="00000000">
            <w:r>
              <w:rPr>
                <w:b/>
                <w:bCs/>
                <w:sz w:val="17"/>
                <w:szCs w:val="17"/>
              </w:rPr>
              <w:t>Acronym</w:t>
            </w:r>
          </w:p>
        </w:tc>
        <w:tc>
          <w:tcPr>
            <w:tcW w:w="0" w:type="auto"/>
            <w:shd w:val="clear" w:color="auto" w:fill="E8E8E8"/>
            <w:tcMar>
              <w:top w:w="60" w:type="dxa"/>
              <w:left w:w="100" w:type="dxa"/>
              <w:bottom w:w="60" w:type="dxa"/>
              <w:right w:w="100" w:type="dxa"/>
            </w:tcMar>
            <w:vAlign w:val="center"/>
          </w:tcPr>
          <w:p w14:paraId="5DEAB07D" w14:textId="77777777" w:rsidR="00386890" w:rsidRDefault="00000000">
            <w:r>
              <w:rPr>
                <w:b/>
                <w:bCs/>
                <w:sz w:val="17"/>
                <w:szCs w:val="17"/>
              </w:rPr>
              <w:t>Definition</w:t>
            </w:r>
          </w:p>
        </w:tc>
      </w:tr>
      <w:tr w:rsidR="00386890" w14:paraId="52187729" w14:textId="77777777">
        <w:tblPrEx>
          <w:tblCellMar>
            <w:top w:w="0" w:type="dxa"/>
            <w:bottom w:w="0" w:type="dxa"/>
          </w:tblCellMar>
        </w:tblPrEx>
        <w:tc>
          <w:tcPr>
            <w:tcW w:w="0" w:type="auto"/>
            <w:tcMar>
              <w:top w:w="60" w:type="dxa"/>
              <w:left w:w="100" w:type="dxa"/>
              <w:bottom w:w="60" w:type="dxa"/>
              <w:right w:w="100" w:type="dxa"/>
            </w:tcMar>
            <w:vAlign w:val="center"/>
          </w:tcPr>
          <w:p w14:paraId="7B62660F" w14:textId="77777777" w:rsidR="00386890" w:rsidRDefault="00000000">
            <w:r>
              <w:rPr>
                <w:sz w:val="17"/>
                <w:szCs w:val="17"/>
              </w:rPr>
              <w:t>ACOEM</w:t>
            </w:r>
          </w:p>
        </w:tc>
        <w:tc>
          <w:tcPr>
            <w:tcW w:w="0" w:type="auto"/>
            <w:tcMar>
              <w:top w:w="60" w:type="dxa"/>
              <w:left w:w="100" w:type="dxa"/>
              <w:bottom w:w="60" w:type="dxa"/>
              <w:right w:w="100" w:type="dxa"/>
            </w:tcMar>
            <w:vAlign w:val="center"/>
          </w:tcPr>
          <w:p w14:paraId="08F24A49" w14:textId="77777777" w:rsidR="00386890" w:rsidRDefault="00000000">
            <w:r>
              <w:rPr>
                <w:sz w:val="17"/>
                <w:szCs w:val="17"/>
              </w:rPr>
              <w:t>American College of Occupational and Environmental Medicine</w:t>
            </w:r>
          </w:p>
        </w:tc>
      </w:tr>
      <w:tr w:rsidR="00386890" w14:paraId="717E096E" w14:textId="77777777">
        <w:tblPrEx>
          <w:tblCellMar>
            <w:top w:w="0" w:type="dxa"/>
            <w:bottom w:w="0" w:type="dxa"/>
          </w:tblCellMar>
        </w:tblPrEx>
        <w:tc>
          <w:tcPr>
            <w:tcW w:w="0" w:type="auto"/>
            <w:tcMar>
              <w:top w:w="60" w:type="dxa"/>
              <w:left w:w="100" w:type="dxa"/>
              <w:bottom w:w="60" w:type="dxa"/>
              <w:right w:w="100" w:type="dxa"/>
            </w:tcMar>
            <w:vAlign w:val="center"/>
          </w:tcPr>
          <w:p w14:paraId="0FA032EB" w14:textId="77777777" w:rsidR="00386890" w:rsidRDefault="00000000">
            <w:r>
              <w:rPr>
                <w:sz w:val="17"/>
                <w:szCs w:val="17"/>
              </w:rPr>
              <w:t>ANSI</w:t>
            </w:r>
          </w:p>
        </w:tc>
        <w:tc>
          <w:tcPr>
            <w:tcW w:w="0" w:type="auto"/>
            <w:tcMar>
              <w:top w:w="60" w:type="dxa"/>
              <w:left w:w="100" w:type="dxa"/>
              <w:bottom w:w="60" w:type="dxa"/>
              <w:right w:w="100" w:type="dxa"/>
            </w:tcMar>
            <w:vAlign w:val="center"/>
          </w:tcPr>
          <w:p w14:paraId="0FCE1EBE" w14:textId="77777777" w:rsidR="00386890" w:rsidRDefault="00000000">
            <w:r>
              <w:rPr>
                <w:sz w:val="17"/>
                <w:szCs w:val="17"/>
              </w:rPr>
              <w:t>American National Standards Institute</w:t>
            </w:r>
          </w:p>
        </w:tc>
      </w:tr>
      <w:tr w:rsidR="00386890" w14:paraId="3C888F70" w14:textId="77777777">
        <w:tblPrEx>
          <w:tblCellMar>
            <w:top w:w="0" w:type="dxa"/>
            <w:bottom w:w="0" w:type="dxa"/>
          </w:tblCellMar>
        </w:tblPrEx>
        <w:tc>
          <w:tcPr>
            <w:tcW w:w="0" w:type="auto"/>
            <w:tcMar>
              <w:top w:w="60" w:type="dxa"/>
              <w:left w:w="100" w:type="dxa"/>
              <w:bottom w:w="60" w:type="dxa"/>
              <w:right w:w="100" w:type="dxa"/>
            </w:tcMar>
            <w:vAlign w:val="center"/>
          </w:tcPr>
          <w:p w14:paraId="0B3CB9D3" w14:textId="77777777" w:rsidR="00386890" w:rsidRDefault="00000000">
            <w:r>
              <w:rPr>
                <w:sz w:val="17"/>
                <w:szCs w:val="17"/>
              </w:rPr>
              <w:t>AOA</w:t>
            </w:r>
          </w:p>
        </w:tc>
        <w:tc>
          <w:tcPr>
            <w:tcW w:w="0" w:type="auto"/>
            <w:tcMar>
              <w:top w:w="60" w:type="dxa"/>
              <w:left w:w="100" w:type="dxa"/>
              <w:bottom w:w="60" w:type="dxa"/>
              <w:right w:w="100" w:type="dxa"/>
            </w:tcMar>
            <w:vAlign w:val="center"/>
          </w:tcPr>
          <w:p w14:paraId="33B186AE" w14:textId="77777777" w:rsidR="00386890" w:rsidRDefault="00000000">
            <w:r>
              <w:rPr>
                <w:sz w:val="17"/>
                <w:szCs w:val="17"/>
              </w:rPr>
              <w:t>American Optometric Association</w:t>
            </w:r>
          </w:p>
        </w:tc>
      </w:tr>
      <w:tr w:rsidR="00386890" w14:paraId="267CDB6D" w14:textId="77777777">
        <w:tblPrEx>
          <w:tblCellMar>
            <w:top w:w="0" w:type="dxa"/>
            <w:bottom w:w="0" w:type="dxa"/>
          </w:tblCellMar>
        </w:tblPrEx>
        <w:tc>
          <w:tcPr>
            <w:tcW w:w="0" w:type="auto"/>
            <w:tcMar>
              <w:top w:w="60" w:type="dxa"/>
              <w:left w:w="100" w:type="dxa"/>
              <w:bottom w:w="60" w:type="dxa"/>
              <w:right w:w="100" w:type="dxa"/>
            </w:tcMar>
            <w:vAlign w:val="center"/>
          </w:tcPr>
          <w:p w14:paraId="5DF38770" w14:textId="77777777" w:rsidR="00386890" w:rsidRDefault="00000000">
            <w:r>
              <w:rPr>
                <w:sz w:val="17"/>
                <w:szCs w:val="17"/>
              </w:rPr>
              <w:t>AWS</w:t>
            </w:r>
          </w:p>
        </w:tc>
        <w:tc>
          <w:tcPr>
            <w:tcW w:w="0" w:type="auto"/>
            <w:tcMar>
              <w:top w:w="60" w:type="dxa"/>
              <w:left w:w="100" w:type="dxa"/>
              <w:bottom w:w="60" w:type="dxa"/>
              <w:right w:w="100" w:type="dxa"/>
            </w:tcMar>
            <w:vAlign w:val="center"/>
          </w:tcPr>
          <w:p w14:paraId="629FC607" w14:textId="77777777" w:rsidR="00386890" w:rsidRDefault="00000000">
            <w:r>
              <w:rPr>
                <w:sz w:val="17"/>
                <w:szCs w:val="17"/>
              </w:rPr>
              <w:t>American Welding Society</w:t>
            </w:r>
          </w:p>
        </w:tc>
      </w:tr>
      <w:tr w:rsidR="00386890" w14:paraId="77556492" w14:textId="77777777">
        <w:tblPrEx>
          <w:tblCellMar>
            <w:top w:w="0" w:type="dxa"/>
            <w:bottom w:w="0" w:type="dxa"/>
          </w:tblCellMar>
        </w:tblPrEx>
        <w:tc>
          <w:tcPr>
            <w:tcW w:w="0" w:type="auto"/>
            <w:tcMar>
              <w:top w:w="60" w:type="dxa"/>
              <w:left w:w="100" w:type="dxa"/>
              <w:bottom w:w="60" w:type="dxa"/>
              <w:right w:w="100" w:type="dxa"/>
            </w:tcMar>
            <w:vAlign w:val="center"/>
          </w:tcPr>
          <w:p w14:paraId="1EFAB91E" w14:textId="77777777" w:rsidR="00386890" w:rsidRDefault="00000000">
            <w:r>
              <w:rPr>
                <w:sz w:val="17"/>
                <w:szCs w:val="17"/>
              </w:rPr>
              <w:t>CCOHS</w:t>
            </w:r>
          </w:p>
        </w:tc>
        <w:tc>
          <w:tcPr>
            <w:tcW w:w="0" w:type="auto"/>
            <w:tcMar>
              <w:top w:w="60" w:type="dxa"/>
              <w:left w:w="100" w:type="dxa"/>
              <w:bottom w:w="60" w:type="dxa"/>
              <w:right w:w="100" w:type="dxa"/>
            </w:tcMar>
            <w:vAlign w:val="center"/>
          </w:tcPr>
          <w:p w14:paraId="139C898B" w14:textId="77777777" w:rsidR="00386890" w:rsidRDefault="00000000">
            <w:r>
              <w:rPr>
                <w:sz w:val="17"/>
                <w:szCs w:val="17"/>
              </w:rPr>
              <w:t>Canadian Centre for Occupational Health and Safety</w:t>
            </w:r>
          </w:p>
        </w:tc>
      </w:tr>
      <w:tr w:rsidR="00386890" w14:paraId="7B1ED434" w14:textId="77777777">
        <w:tblPrEx>
          <w:tblCellMar>
            <w:top w:w="0" w:type="dxa"/>
            <w:bottom w:w="0" w:type="dxa"/>
          </w:tblCellMar>
        </w:tblPrEx>
        <w:tc>
          <w:tcPr>
            <w:tcW w:w="0" w:type="auto"/>
            <w:tcMar>
              <w:top w:w="60" w:type="dxa"/>
              <w:left w:w="100" w:type="dxa"/>
              <w:bottom w:w="60" w:type="dxa"/>
              <w:right w:w="100" w:type="dxa"/>
            </w:tcMar>
            <w:vAlign w:val="center"/>
          </w:tcPr>
          <w:p w14:paraId="22003565" w14:textId="77777777" w:rsidR="00386890" w:rsidRDefault="00000000">
            <w:r>
              <w:rPr>
                <w:sz w:val="17"/>
                <w:szCs w:val="17"/>
              </w:rPr>
              <w:t>EAV / ELV</w:t>
            </w:r>
          </w:p>
        </w:tc>
        <w:tc>
          <w:tcPr>
            <w:tcW w:w="0" w:type="auto"/>
            <w:tcMar>
              <w:top w:w="60" w:type="dxa"/>
              <w:left w:w="100" w:type="dxa"/>
              <w:bottom w:w="60" w:type="dxa"/>
              <w:right w:w="100" w:type="dxa"/>
            </w:tcMar>
            <w:vAlign w:val="center"/>
          </w:tcPr>
          <w:p w14:paraId="7D0D1D02" w14:textId="77777777" w:rsidR="00386890" w:rsidRDefault="00000000">
            <w:r>
              <w:rPr>
                <w:sz w:val="17"/>
                <w:szCs w:val="17"/>
              </w:rPr>
              <w:t>Exposure Action Value / Exposure Limit Value (vibration, HSE)</w:t>
            </w:r>
          </w:p>
        </w:tc>
      </w:tr>
      <w:tr w:rsidR="00386890" w14:paraId="043B0476" w14:textId="77777777">
        <w:tblPrEx>
          <w:tblCellMar>
            <w:top w:w="0" w:type="dxa"/>
            <w:bottom w:w="0" w:type="dxa"/>
          </w:tblCellMar>
        </w:tblPrEx>
        <w:tc>
          <w:tcPr>
            <w:tcW w:w="0" w:type="auto"/>
            <w:tcMar>
              <w:top w:w="60" w:type="dxa"/>
              <w:left w:w="100" w:type="dxa"/>
              <w:bottom w:w="60" w:type="dxa"/>
              <w:right w:w="100" w:type="dxa"/>
            </w:tcMar>
            <w:vAlign w:val="center"/>
          </w:tcPr>
          <w:p w14:paraId="68BFC01B" w14:textId="77777777" w:rsidR="00386890" w:rsidRDefault="00000000">
            <w:r>
              <w:rPr>
                <w:sz w:val="17"/>
                <w:szCs w:val="17"/>
              </w:rPr>
              <w:t>FDA</w:t>
            </w:r>
          </w:p>
        </w:tc>
        <w:tc>
          <w:tcPr>
            <w:tcW w:w="0" w:type="auto"/>
            <w:tcMar>
              <w:top w:w="60" w:type="dxa"/>
              <w:left w:w="100" w:type="dxa"/>
              <w:bottom w:w="60" w:type="dxa"/>
              <w:right w:w="100" w:type="dxa"/>
            </w:tcMar>
            <w:vAlign w:val="center"/>
          </w:tcPr>
          <w:p w14:paraId="1F39B755" w14:textId="77777777" w:rsidR="00386890" w:rsidRDefault="00000000">
            <w:r>
              <w:rPr>
                <w:sz w:val="17"/>
                <w:szCs w:val="17"/>
              </w:rPr>
              <w:t>U.S. Food and Drug Administration</w:t>
            </w:r>
          </w:p>
        </w:tc>
      </w:tr>
      <w:tr w:rsidR="00386890" w14:paraId="0410E04F" w14:textId="77777777">
        <w:tblPrEx>
          <w:tblCellMar>
            <w:top w:w="0" w:type="dxa"/>
            <w:bottom w:w="0" w:type="dxa"/>
          </w:tblCellMar>
        </w:tblPrEx>
        <w:tc>
          <w:tcPr>
            <w:tcW w:w="0" w:type="auto"/>
            <w:tcMar>
              <w:top w:w="60" w:type="dxa"/>
              <w:left w:w="100" w:type="dxa"/>
              <w:bottom w:w="60" w:type="dxa"/>
              <w:right w:w="100" w:type="dxa"/>
            </w:tcMar>
            <w:vAlign w:val="center"/>
          </w:tcPr>
          <w:p w14:paraId="6726C867" w14:textId="77777777" w:rsidR="00386890" w:rsidRDefault="00000000">
            <w:r>
              <w:rPr>
                <w:sz w:val="17"/>
                <w:szCs w:val="17"/>
              </w:rPr>
              <w:t>HAVS</w:t>
            </w:r>
          </w:p>
        </w:tc>
        <w:tc>
          <w:tcPr>
            <w:tcW w:w="0" w:type="auto"/>
            <w:tcMar>
              <w:top w:w="60" w:type="dxa"/>
              <w:left w:w="100" w:type="dxa"/>
              <w:bottom w:w="60" w:type="dxa"/>
              <w:right w:w="100" w:type="dxa"/>
            </w:tcMar>
            <w:vAlign w:val="center"/>
          </w:tcPr>
          <w:p w14:paraId="55E317B2" w14:textId="77777777" w:rsidR="00386890" w:rsidRDefault="00000000">
            <w:r>
              <w:rPr>
                <w:sz w:val="17"/>
                <w:szCs w:val="17"/>
              </w:rPr>
              <w:t>Hand-Arm Vibration Syndrome</w:t>
            </w:r>
          </w:p>
        </w:tc>
      </w:tr>
      <w:tr w:rsidR="00386890" w14:paraId="4F3C67E0" w14:textId="77777777">
        <w:tblPrEx>
          <w:tblCellMar>
            <w:top w:w="0" w:type="dxa"/>
            <w:bottom w:w="0" w:type="dxa"/>
          </w:tblCellMar>
        </w:tblPrEx>
        <w:tc>
          <w:tcPr>
            <w:tcW w:w="0" w:type="auto"/>
            <w:tcMar>
              <w:top w:w="60" w:type="dxa"/>
              <w:left w:w="100" w:type="dxa"/>
              <w:bottom w:w="60" w:type="dxa"/>
              <w:right w:w="100" w:type="dxa"/>
            </w:tcMar>
            <w:vAlign w:val="center"/>
          </w:tcPr>
          <w:p w14:paraId="1679E59B" w14:textId="77777777" w:rsidR="00386890" w:rsidRDefault="00000000">
            <w:r>
              <w:rPr>
                <w:sz w:val="17"/>
                <w:szCs w:val="17"/>
              </w:rPr>
              <w:t>HEPA</w:t>
            </w:r>
          </w:p>
        </w:tc>
        <w:tc>
          <w:tcPr>
            <w:tcW w:w="0" w:type="auto"/>
            <w:tcMar>
              <w:top w:w="60" w:type="dxa"/>
              <w:left w:w="100" w:type="dxa"/>
              <w:bottom w:w="60" w:type="dxa"/>
              <w:right w:w="100" w:type="dxa"/>
            </w:tcMar>
            <w:vAlign w:val="center"/>
          </w:tcPr>
          <w:p w14:paraId="5D6A39E8" w14:textId="77777777" w:rsidR="00386890" w:rsidRDefault="00000000">
            <w:r>
              <w:rPr>
                <w:sz w:val="17"/>
                <w:szCs w:val="17"/>
              </w:rPr>
              <w:t>High-Efficiency Particulate Air (filter)</w:t>
            </w:r>
          </w:p>
        </w:tc>
      </w:tr>
      <w:tr w:rsidR="00386890" w14:paraId="0B6ADB60" w14:textId="77777777">
        <w:tblPrEx>
          <w:tblCellMar>
            <w:top w:w="0" w:type="dxa"/>
            <w:bottom w:w="0" w:type="dxa"/>
          </w:tblCellMar>
        </w:tblPrEx>
        <w:tc>
          <w:tcPr>
            <w:tcW w:w="0" w:type="auto"/>
            <w:tcMar>
              <w:top w:w="60" w:type="dxa"/>
              <w:left w:w="100" w:type="dxa"/>
              <w:bottom w:w="60" w:type="dxa"/>
              <w:right w:w="100" w:type="dxa"/>
            </w:tcMar>
            <w:vAlign w:val="center"/>
          </w:tcPr>
          <w:p w14:paraId="5B69DA1C" w14:textId="77777777" w:rsidR="00386890" w:rsidRDefault="00000000">
            <w:r>
              <w:rPr>
                <w:sz w:val="17"/>
                <w:szCs w:val="17"/>
              </w:rPr>
              <w:t>HSE</w:t>
            </w:r>
          </w:p>
        </w:tc>
        <w:tc>
          <w:tcPr>
            <w:tcW w:w="0" w:type="auto"/>
            <w:tcMar>
              <w:top w:w="60" w:type="dxa"/>
              <w:left w:w="100" w:type="dxa"/>
              <w:bottom w:w="60" w:type="dxa"/>
              <w:right w:w="100" w:type="dxa"/>
            </w:tcMar>
            <w:vAlign w:val="center"/>
          </w:tcPr>
          <w:p w14:paraId="06E146EE" w14:textId="77777777" w:rsidR="00386890" w:rsidRDefault="00000000">
            <w:r>
              <w:rPr>
                <w:sz w:val="17"/>
                <w:szCs w:val="17"/>
              </w:rPr>
              <w:t>Health and Safety Executive (UK)</w:t>
            </w:r>
          </w:p>
        </w:tc>
      </w:tr>
      <w:tr w:rsidR="00386890" w14:paraId="7CCF410E" w14:textId="77777777">
        <w:tblPrEx>
          <w:tblCellMar>
            <w:top w:w="0" w:type="dxa"/>
            <w:bottom w:w="0" w:type="dxa"/>
          </w:tblCellMar>
        </w:tblPrEx>
        <w:tc>
          <w:tcPr>
            <w:tcW w:w="0" w:type="auto"/>
            <w:tcMar>
              <w:top w:w="60" w:type="dxa"/>
              <w:left w:w="100" w:type="dxa"/>
              <w:bottom w:w="60" w:type="dxa"/>
              <w:right w:w="100" w:type="dxa"/>
            </w:tcMar>
            <w:vAlign w:val="center"/>
          </w:tcPr>
          <w:p w14:paraId="1D6EAD38" w14:textId="77777777" w:rsidR="00386890" w:rsidRDefault="00000000">
            <w:r>
              <w:rPr>
                <w:sz w:val="17"/>
                <w:szCs w:val="17"/>
              </w:rPr>
              <w:t>HSG17</w:t>
            </w:r>
          </w:p>
        </w:tc>
        <w:tc>
          <w:tcPr>
            <w:tcW w:w="0" w:type="auto"/>
            <w:tcMar>
              <w:top w:w="60" w:type="dxa"/>
              <w:left w:w="100" w:type="dxa"/>
              <w:bottom w:w="60" w:type="dxa"/>
              <w:right w:w="100" w:type="dxa"/>
            </w:tcMar>
            <w:vAlign w:val="center"/>
          </w:tcPr>
          <w:p w14:paraId="39F811CA" w14:textId="77777777" w:rsidR="00386890" w:rsidRDefault="00000000">
            <w:r>
              <w:rPr>
                <w:sz w:val="17"/>
                <w:szCs w:val="17"/>
              </w:rPr>
              <w:t>Health and Safety Guidance 17 — Safety in the use of abrasive wheels</w:t>
            </w:r>
          </w:p>
        </w:tc>
      </w:tr>
      <w:tr w:rsidR="00386890" w14:paraId="4D59725F" w14:textId="77777777">
        <w:tblPrEx>
          <w:tblCellMar>
            <w:top w:w="0" w:type="dxa"/>
            <w:bottom w:w="0" w:type="dxa"/>
          </w:tblCellMar>
        </w:tblPrEx>
        <w:tc>
          <w:tcPr>
            <w:tcW w:w="0" w:type="auto"/>
            <w:tcMar>
              <w:top w:w="60" w:type="dxa"/>
              <w:left w:w="100" w:type="dxa"/>
              <w:bottom w:w="60" w:type="dxa"/>
              <w:right w:w="100" w:type="dxa"/>
            </w:tcMar>
            <w:vAlign w:val="center"/>
          </w:tcPr>
          <w:p w14:paraId="35FFABA6" w14:textId="77777777" w:rsidR="00386890" w:rsidRDefault="00000000">
            <w:r>
              <w:rPr>
                <w:sz w:val="17"/>
                <w:szCs w:val="17"/>
              </w:rPr>
              <w:t>IEC</w:t>
            </w:r>
          </w:p>
        </w:tc>
        <w:tc>
          <w:tcPr>
            <w:tcW w:w="0" w:type="auto"/>
            <w:tcMar>
              <w:top w:w="60" w:type="dxa"/>
              <w:left w:w="100" w:type="dxa"/>
              <w:bottom w:w="60" w:type="dxa"/>
              <w:right w:w="100" w:type="dxa"/>
            </w:tcMar>
            <w:vAlign w:val="center"/>
          </w:tcPr>
          <w:p w14:paraId="2C68D8FF" w14:textId="77777777" w:rsidR="00386890" w:rsidRDefault="00000000">
            <w:r>
              <w:rPr>
                <w:sz w:val="17"/>
                <w:szCs w:val="17"/>
              </w:rPr>
              <w:t>International Electrotechnical Commission</w:t>
            </w:r>
          </w:p>
        </w:tc>
      </w:tr>
      <w:tr w:rsidR="00386890" w:rsidRPr="006807E4" w14:paraId="3329CA2B" w14:textId="77777777">
        <w:tblPrEx>
          <w:tblCellMar>
            <w:top w:w="0" w:type="dxa"/>
            <w:bottom w:w="0" w:type="dxa"/>
          </w:tblCellMar>
        </w:tblPrEx>
        <w:tc>
          <w:tcPr>
            <w:tcW w:w="0" w:type="auto"/>
            <w:tcMar>
              <w:top w:w="60" w:type="dxa"/>
              <w:left w:w="100" w:type="dxa"/>
              <w:bottom w:w="60" w:type="dxa"/>
              <w:right w:w="100" w:type="dxa"/>
            </w:tcMar>
            <w:vAlign w:val="center"/>
          </w:tcPr>
          <w:p w14:paraId="7B858824" w14:textId="77777777" w:rsidR="00386890" w:rsidRDefault="00000000">
            <w:r>
              <w:rPr>
                <w:sz w:val="17"/>
                <w:szCs w:val="17"/>
              </w:rPr>
              <w:t>INRS</w:t>
            </w:r>
          </w:p>
        </w:tc>
        <w:tc>
          <w:tcPr>
            <w:tcW w:w="0" w:type="auto"/>
            <w:tcMar>
              <w:top w:w="60" w:type="dxa"/>
              <w:left w:w="100" w:type="dxa"/>
              <w:bottom w:w="60" w:type="dxa"/>
              <w:right w:w="100" w:type="dxa"/>
            </w:tcMar>
            <w:vAlign w:val="center"/>
          </w:tcPr>
          <w:p w14:paraId="4CC4C0EB" w14:textId="77777777" w:rsidR="00386890" w:rsidRPr="006807E4" w:rsidRDefault="00000000">
            <w:pPr>
              <w:rPr>
                <w:lang w:val="fr-FR"/>
              </w:rPr>
            </w:pPr>
            <w:r w:rsidRPr="006807E4">
              <w:rPr>
                <w:sz w:val="17"/>
                <w:szCs w:val="17"/>
                <w:lang w:val="fr-FR"/>
              </w:rPr>
              <w:t>Institut national de recherche et de sécurité (France)</w:t>
            </w:r>
          </w:p>
        </w:tc>
      </w:tr>
      <w:tr w:rsidR="00386890" w14:paraId="42ED0E98" w14:textId="77777777">
        <w:tblPrEx>
          <w:tblCellMar>
            <w:top w:w="0" w:type="dxa"/>
            <w:bottom w:w="0" w:type="dxa"/>
          </w:tblCellMar>
        </w:tblPrEx>
        <w:tc>
          <w:tcPr>
            <w:tcW w:w="0" w:type="auto"/>
            <w:tcMar>
              <w:top w:w="60" w:type="dxa"/>
              <w:left w:w="100" w:type="dxa"/>
              <w:bottom w:w="60" w:type="dxa"/>
              <w:right w:w="100" w:type="dxa"/>
            </w:tcMar>
            <w:vAlign w:val="center"/>
          </w:tcPr>
          <w:p w14:paraId="653DA272" w14:textId="77777777" w:rsidR="00386890" w:rsidRDefault="00000000">
            <w:r>
              <w:rPr>
                <w:sz w:val="17"/>
                <w:szCs w:val="17"/>
              </w:rPr>
              <w:t>IR</w:t>
            </w:r>
          </w:p>
        </w:tc>
        <w:tc>
          <w:tcPr>
            <w:tcW w:w="0" w:type="auto"/>
            <w:tcMar>
              <w:top w:w="60" w:type="dxa"/>
              <w:left w:w="100" w:type="dxa"/>
              <w:bottom w:w="60" w:type="dxa"/>
              <w:right w:w="100" w:type="dxa"/>
            </w:tcMar>
            <w:vAlign w:val="center"/>
          </w:tcPr>
          <w:p w14:paraId="088DCC8E" w14:textId="77777777" w:rsidR="00386890" w:rsidRDefault="00000000">
            <w:r>
              <w:rPr>
                <w:sz w:val="17"/>
                <w:szCs w:val="17"/>
              </w:rPr>
              <w:t>Infrared</w:t>
            </w:r>
          </w:p>
        </w:tc>
      </w:tr>
      <w:tr w:rsidR="00386890" w14:paraId="2C53C800" w14:textId="77777777">
        <w:tblPrEx>
          <w:tblCellMar>
            <w:top w:w="0" w:type="dxa"/>
            <w:bottom w:w="0" w:type="dxa"/>
          </w:tblCellMar>
        </w:tblPrEx>
        <w:tc>
          <w:tcPr>
            <w:tcW w:w="0" w:type="auto"/>
            <w:tcMar>
              <w:top w:w="60" w:type="dxa"/>
              <w:left w:w="100" w:type="dxa"/>
              <w:bottom w:w="60" w:type="dxa"/>
              <w:right w:w="100" w:type="dxa"/>
            </w:tcMar>
            <w:vAlign w:val="center"/>
          </w:tcPr>
          <w:p w14:paraId="1B55C11A" w14:textId="77777777" w:rsidR="00386890" w:rsidRDefault="00000000">
            <w:r>
              <w:rPr>
                <w:sz w:val="17"/>
                <w:szCs w:val="17"/>
              </w:rPr>
              <w:t>LEV</w:t>
            </w:r>
          </w:p>
        </w:tc>
        <w:tc>
          <w:tcPr>
            <w:tcW w:w="0" w:type="auto"/>
            <w:tcMar>
              <w:top w:w="60" w:type="dxa"/>
              <w:left w:w="100" w:type="dxa"/>
              <w:bottom w:w="60" w:type="dxa"/>
              <w:right w:w="100" w:type="dxa"/>
            </w:tcMar>
            <w:vAlign w:val="center"/>
          </w:tcPr>
          <w:p w14:paraId="43DDBACB" w14:textId="77777777" w:rsidR="00386890" w:rsidRDefault="00000000">
            <w:r>
              <w:rPr>
                <w:sz w:val="17"/>
                <w:szCs w:val="17"/>
              </w:rPr>
              <w:t>Local Exhaust Ventilation</w:t>
            </w:r>
          </w:p>
        </w:tc>
      </w:tr>
      <w:tr w:rsidR="00386890" w14:paraId="3EDE775B" w14:textId="77777777">
        <w:tblPrEx>
          <w:tblCellMar>
            <w:top w:w="0" w:type="dxa"/>
            <w:bottom w:w="0" w:type="dxa"/>
          </w:tblCellMar>
        </w:tblPrEx>
        <w:tc>
          <w:tcPr>
            <w:tcW w:w="0" w:type="auto"/>
            <w:tcMar>
              <w:top w:w="60" w:type="dxa"/>
              <w:left w:w="100" w:type="dxa"/>
              <w:bottom w:w="60" w:type="dxa"/>
              <w:right w:w="100" w:type="dxa"/>
            </w:tcMar>
            <w:vAlign w:val="center"/>
          </w:tcPr>
          <w:p w14:paraId="252C8211" w14:textId="77777777" w:rsidR="00386890" w:rsidRDefault="00000000">
            <w:r>
              <w:rPr>
                <w:sz w:val="17"/>
                <w:szCs w:val="17"/>
              </w:rPr>
              <w:t>LGAC</w:t>
            </w:r>
          </w:p>
        </w:tc>
        <w:tc>
          <w:tcPr>
            <w:tcW w:w="0" w:type="auto"/>
            <w:tcMar>
              <w:top w:w="60" w:type="dxa"/>
              <w:left w:w="100" w:type="dxa"/>
              <w:bottom w:w="60" w:type="dxa"/>
              <w:right w:w="100" w:type="dxa"/>
            </w:tcMar>
            <w:vAlign w:val="center"/>
          </w:tcPr>
          <w:p w14:paraId="37868664" w14:textId="77777777" w:rsidR="00386890" w:rsidRDefault="00000000">
            <w:r>
              <w:rPr>
                <w:sz w:val="17"/>
                <w:szCs w:val="17"/>
              </w:rPr>
              <w:t>Laser-Generated Air Contaminants</w:t>
            </w:r>
          </w:p>
        </w:tc>
      </w:tr>
      <w:tr w:rsidR="00386890" w14:paraId="273ED5C5" w14:textId="77777777">
        <w:tblPrEx>
          <w:tblCellMar>
            <w:top w:w="0" w:type="dxa"/>
            <w:bottom w:w="0" w:type="dxa"/>
          </w:tblCellMar>
        </w:tblPrEx>
        <w:tc>
          <w:tcPr>
            <w:tcW w:w="0" w:type="auto"/>
            <w:tcMar>
              <w:top w:w="60" w:type="dxa"/>
              <w:left w:w="100" w:type="dxa"/>
              <w:bottom w:w="60" w:type="dxa"/>
              <w:right w:w="100" w:type="dxa"/>
            </w:tcMar>
            <w:vAlign w:val="center"/>
          </w:tcPr>
          <w:p w14:paraId="7795AD68" w14:textId="77777777" w:rsidR="00386890" w:rsidRDefault="00000000">
            <w:r>
              <w:rPr>
                <w:sz w:val="17"/>
                <w:szCs w:val="17"/>
              </w:rPr>
              <w:t>LPE</w:t>
            </w:r>
          </w:p>
        </w:tc>
        <w:tc>
          <w:tcPr>
            <w:tcW w:w="0" w:type="auto"/>
            <w:tcMar>
              <w:top w:w="60" w:type="dxa"/>
              <w:left w:w="100" w:type="dxa"/>
              <w:bottom w:w="60" w:type="dxa"/>
              <w:right w:w="100" w:type="dxa"/>
            </w:tcMar>
            <w:vAlign w:val="center"/>
          </w:tcPr>
          <w:p w14:paraId="442A5655" w14:textId="77777777" w:rsidR="00386890" w:rsidRDefault="00000000">
            <w:r>
              <w:rPr>
                <w:sz w:val="17"/>
                <w:szCs w:val="17"/>
              </w:rPr>
              <w:t>Laser Protective Eyewear</w:t>
            </w:r>
          </w:p>
        </w:tc>
      </w:tr>
      <w:tr w:rsidR="00386890" w14:paraId="526B8608" w14:textId="77777777">
        <w:tblPrEx>
          <w:tblCellMar>
            <w:top w:w="0" w:type="dxa"/>
            <w:bottom w:w="0" w:type="dxa"/>
          </w:tblCellMar>
        </w:tblPrEx>
        <w:tc>
          <w:tcPr>
            <w:tcW w:w="0" w:type="auto"/>
            <w:tcMar>
              <w:top w:w="60" w:type="dxa"/>
              <w:left w:w="100" w:type="dxa"/>
              <w:bottom w:w="60" w:type="dxa"/>
              <w:right w:w="100" w:type="dxa"/>
            </w:tcMar>
            <w:vAlign w:val="center"/>
          </w:tcPr>
          <w:p w14:paraId="309BA6B5" w14:textId="77777777" w:rsidR="00386890" w:rsidRDefault="00000000">
            <w:r>
              <w:rPr>
                <w:sz w:val="17"/>
                <w:szCs w:val="17"/>
              </w:rPr>
              <w:t>LSO</w:t>
            </w:r>
          </w:p>
        </w:tc>
        <w:tc>
          <w:tcPr>
            <w:tcW w:w="0" w:type="auto"/>
            <w:tcMar>
              <w:top w:w="60" w:type="dxa"/>
              <w:left w:w="100" w:type="dxa"/>
              <w:bottom w:w="60" w:type="dxa"/>
              <w:right w:w="100" w:type="dxa"/>
            </w:tcMar>
            <w:vAlign w:val="center"/>
          </w:tcPr>
          <w:p w14:paraId="5E5733CF" w14:textId="77777777" w:rsidR="00386890" w:rsidRDefault="00000000">
            <w:r>
              <w:rPr>
                <w:sz w:val="17"/>
                <w:szCs w:val="17"/>
              </w:rPr>
              <w:t>Laser Safety Officer</w:t>
            </w:r>
          </w:p>
        </w:tc>
      </w:tr>
      <w:tr w:rsidR="00386890" w14:paraId="6C85D060" w14:textId="77777777">
        <w:tblPrEx>
          <w:tblCellMar>
            <w:top w:w="0" w:type="dxa"/>
            <w:bottom w:w="0" w:type="dxa"/>
          </w:tblCellMar>
        </w:tblPrEx>
        <w:tc>
          <w:tcPr>
            <w:tcW w:w="0" w:type="auto"/>
            <w:tcMar>
              <w:top w:w="60" w:type="dxa"/>
              <w:left w:w="100" w:type="dxa"/>
              <w:bottom w:w="60" w:type="dxa"/>
              <w:right w:w="100" w:type="dxa"/>
            </w:tcMar>
            <w:vAlign w:val="center"/>
          </w:tcPr>
          <w:p w14:paraId="0201C816" w14:textId="77777777" w:rsidR="00386890" w:rsidRDefault="00000000">
            <w:r>
              <w:rPr>
                <w:sz w:val="17"/>
                <w:szCs w:val="17"/>
              </w:rPr>
              <w:t>MMA</w:t>
            </w:r>
          </w:p>
        </w:tc>
        <w:tc>
          <w:tcPr>
            <w:tcW w:w="0" w:type="auto"/>
            <w:tcMar>
              <w:top w:w="60" w:type="dxa"/>
              <w:left w:w="100" w:type="dxa"/>
              <w:bottom w:w="60" w:type="dxa"/>
              <w:right w:w="100" w:type="dxa"/>
            </w:tcMar>
            <w:vAlign w:val="center"/>
          </w:tcPr>
          <w:p w14:paraId="1965AC0B" w14:textId="77777777" w:rsidR="00386890" w:rsidRDefault="00000000">
            <w:r>
              <w:rPr>
                <w:sz w:val="17"/>
                <w:szCs w:val="17"/>
              </w:rPr>
              <w:t>Manual Metal Arc (shielded-electrode welding)</w:t>
            </w:r>
          </w:p>
        </w:tc>
      </w:tr>
      <w:tr w:rsidR="00386890" w14:paraId="007A7D7C" w14:textId="77777777">
        <w:tblPrEx>
          <w:tblCellMar>
            <w:top w:w="0" w:type="dxa"/>
            <w:bottom w:w="0" w:type="dxa"/>
          </w:tblCellMar>
        </w:tblPrEx>
        <w:tc>
          <w:tcPr>
            <w:tcW w:w="0" w:type="auto"/>
            <w:tcMar>
              <w:top w:w="60" w:type="dxa"/>
              <w:left w:w="100" w:type="dxa"/>
              <w:bottom w:w="60" w:type="dxa"/>
              <w:right w:w="100" w:type="dxa"/>
            </w:tcMar>
            <w:vAlign w:val="center"/>
          </w:tcPr>
          <w:p w14:paraId="6497F46D" w14:textId="77777777" w:rsidR="00386890" w:rsidRDefault="00000000">
            <w:r>
              <w:rPr>
                <w:sz w:val="17"/>
                <w:szCs w:val="17"/>
              </w:rPr>
              <w:t>NIOSH</w:t>
            </w:r>
          </w:p>
        </w:tc>
        <w:tc>
          <w:tcPr>
            <w:tcW w:w="0" w:type="auto"/>
            <w:tcMar>
              <w:top w:w="60" w:type="dxa"/>
              <w:left w:w="100" w:type="dxa"/>
              <w:bottom w:w="60" w:type="dxa"/>
              <w:right w:w="100" w:type="dxa"/>
            </w:tcMar>
            <w:vAlign w:val="center"/>
          </w:tcPr>
          <w:p w14:paraId="3488D5B0" w14:textId="77777777" w:rsidR="00386890" w:rsidRDefault="00000000">
            <w:r>
              <w:rPr>
                <w:sz w:val="17"/>
                <w:szCs w:val="17"/>
              </w:rPr>
              <w:t>National Institute for Occupational Safety and Health (USA)</w:t>
            </w:r>
          </w:p>
        </w:tc>
      </w:tr>
      <w:tr w:rsidR="00386890" w14:paraId="7DF445BE" w14:textId="77777777">
        <w:tblPrEx>
          <w:tblCellMar>
            <w:top w:w="0" w:type="dxa"/>
            <w:bottom w:w="0" w:type="dxa"/>
          </w:tblCellMar>
        </w:tblPrEx>
        <w:tc>
          <w:tcPr>
            <w:tcW w:w="0" w:type="auto"/>
            <w:tcMar>
              <w:top w:w="60" w:type="dxa"/>
              <w:left w:w="100" w:type="dxa"/>
              <w:bottom w:w="60" w:type="dxa"/>
              <w:right w:w="100" w:type="dxa"/>
            </w:tcMar>
            <w:vAlign w:val="center"/>
          </w:tcPr>
          <w:p w14:paraId="762CA887" w14:textId="77777777" w:rsidR="00386890" w:rsidRDefault="00000000">
            <w:r>
              <w:rPr>
                <w:sz w:val="17"/>
                <w:szCs w:val="17"/>
              </w:rPr>
              <w:t>nm</w:t>
            </w:r>
          </w:p>
        </w:tc>
        <w:tc>
          <w:tcPr>
            <w:tcW w:w="0" w:type="auto"/>
            <w:tcMar>
              <w:top w:w="60" w:type="dxa"/>
              <w:left w:w="100" w:type="dxa"/>
              <w:bottom w:w="60" w:type="dxa"/>
              <w:right w:w="100" w:type="dxa"/>
            </w:tcMar>
            <w:vAlign w:val="center"/>
          </w:tcPr>
          <w:p w14:paraId="2A4A42E0" w14:textId="77777777" w:rsidR="00386890" w:rsidRDefault="00000000">
            <w:r>
              <w:rPr>
                <w:sz w:val="17"/>
                <w:szCs w:val="17"/>
              </w:rPr>
              <w:t>Nanometre</w:t>
            </w:r>
          </w:p>
        </w:tc>
      </w:tr>
      <w:tr w:rsidR="00386890" w14:paraId="52279883" w14:textId="77777777">
        <w:tblPrEx>
          <w:tblCellMar>
            <w:top w:w="0" w:type="dxa"/>
            <w:bottom w:w="0" w:type="dxa"/>
          </w:tblCellMar>
        </w:tblPrEx>
        <w:tc>
          <w:tcPr>
            <w:tcW w:w="0" w:type="auto"/>
            <w:tcMar>
              <w:top w:w="60" w:type="dxa"/>
              <w:left w:w="100" w:type="dxa"/>
              <w:bottom w:w="60" w:type="dxa"/>
              <w:right w:w="100" w:type="dxa"/>
            </w:tcMar>
            <w:vAlign w:val="center"/>
          </w:tcPr>
          <w:p w14:paraId="1F2476F9" w14:textId="77777777" w:rsidR="00386890" w:rsidRDefault="00000000">
            <w:r>
              <w:rPr>
                <w:sz w:val="17"/>
                <w:szCs w:val="17"/>
              </w:rPr>
              <w:t>NSC</w:t>
            </w:r>
          </w:p>
        </w:tc>
        <w:tc>
          <w:tcPr>
            <w:tcW w:w="0" w:type="auto"/>
            <w:tcMar>
              <w:top w:w="60" w:type="dxa"/>
              <w:left w:w="100" w:type="dxa"/>
              <w:bottom w:w="60" w:type="dxa"/>
              <w:right w:w="100" w:type="dxa"/>
            </w:tcMar>
            <w:vAlign w:val="center"/>
          </w:tcPr>
          <w:p w14:paraId="54F4E5FA" w14:textId="77777777" w:rsidR="00386890" w:rsidRDefault="00000000">
            <w:r>
              <w:rPr>
                <w:sz w:val="17"/>
                <w:szCs w:val="17"/>
              </w:rPr>
              <w:t>National Safety Council (USA)</w:t>
            </w:r>
          </w:p>
        </w:tc>
      </w:tr>
      <w:tr w:rsidR="00386890" w14:paraId="067559C0" w14:textId="77777777">
        <w:tblPrEx>
          <w:tblCellMar>
            <w:top w:w="0" w:type="dxa"/>
            <w:bottom w:w="0" w:type="dxa"/>
          </w:tblCellMar>
        </w:tblPrEx>
        <w:tc>
          <w:tcPr>
            <w:tcW w:w="0" w:type="auto"/>
            <w:tcMar>
              <w:top w:w="60" w:type="dxa"/>
              <w:left w:w="100" w:type="dxa"/>
              <w:bottom w:w="60" w:type="dxa"/>
              <w:right w:w="100" w:type="dxa"/>
            </w:tcMar>
            <w:vAlign w:val="center"/>
          </w:tcPr>
          <w:p w14:paraId="5412BA9F" w14:textId="77777777" w:rsidR="00386890" w:rsidRDefault="00000000">
            <w:r>
              <w:rPr>
                <w:sz w:val="17"/>
                <w:szCs w:val="17"/>
              </w:rPr>
              <w:t>OD</w:t>
            </w:r>
          </w:p>
        </w:tc>
        <w:tc>
          <w:tcPr>
            <w:tcW w:w="0" w:type="auto"/>
            <w:tcMar>
              <w:top w:w="60" w:type="dxa"/>
              <w:left w:w="100" w:type="dxa"/>
              <w:bottom w:w="60" w:type="dxa"/>
              <w:right w:w="100" w:type="dxa"/>
            </w:tcMar>
            <w:vAlign w:val="center"/>
          </w:tcPr>
          <w:p w14:paraId="6D8E4837" w14:textId="77777777" w:rsidR="00386890" w:rsidRDefault="00000000">
            <w:r>
              <w:rPr>
                <w:sz w:val="17"/>
                <w:szCs w:val="17"/>
              </w:rPr>
              <w:t>Optical Density (laser eyewear rating)</w:t>
            </w:r>
          </w:p>
        </w:tc>
      </w:tr>
      <w:tr w:rsidR="00386890" w14:paraId="65D45ABF" w14:textId="77777777">
        <w:tblPrEx>
          <w:tblCellMar>
            <w:top w:w="0" w:type="dxa"/>
            <w:bottom w:w="0" w:type="dxa"/>
          </w:tblCellMar>
        </w:tblPrEx>
        <w:tc>
          <w:tcPr>
            <w:tcW w:w="0" w:type="auto"/>
            <w:tcMar>
              <w:top w:w="60" w:type="dxa"/>
              <w:left w:w="100" w:type="dxa"/>
              <w:bottom w:w="60" w:type="dxa"/>
              <w:right w:w="100" w:type="dxa"/>
            </w:tcMar>
            <w:vAlign w:val="center"/>
          </w:tcPr>
          <w:p w14:paraId="5F00C04A" w14:textId="77777777" w:rsidR="00386890" w:rsidRDefault="00000000">
            <w:r>
              <w:rPr>
                <w:sz w:val="17"/>
                <w:szCs w:val="17"/>
              </w:rPr>
              <w:t>OSHA</w:t>
            </w:r>
          </w:p>
        </w:tc>
        <w:tc>
          <w:tcPr>
            <w:tcW w:w="0" w:type="auto"/>
            <w:tcMar>
              <w:top w:w="60" w:type="dxa"/>
              <w:left w:w="100" w:type="dxa"/>
              <w:bottom w:w="60" w:type="dxa"/>
              <w:right w:w="100" w:type="dxa"/>
            </w:tcMar>
            <w:vAlign w:val="center"/>
          </w:tcPr>
          <w:p w14:paraId="3ADDB0CC" w14:textId="77777777" w:rsidR="00386890" w:rsidRDefault="00000000">
            <w:r>
              <w:rPr>
                <w:sz w:val="17"/>
                <w:szCs w:val="17"/>
              </w:rPr>
              <w:t>Occupational Safety and Health Administration (USA)</w:t>
            </w:r>
          </w:p>
        </w:tc>
      </w:tr>
      <w:tr w:rsidR="00386890" w14:paraId="33ACDC1A" w14:textId="77777777">
        <w:tblPrEx>
          <w:tblCellMar>
            <w:top w:w="0" w:type="dxa"/>
            <w:bottom w:w="0" w:type="dxa"/>
          </w:tblCellMar>
        </w:tblPrEx>
        <w:tc>
          <w:tcPr>
            <w:tcW w:w="0" w:type="auto"/>
            <w:tcMar>
              <w:top w:w="60" w:type="dxa"/>
              <w:left w:w="100" w:type="dxa"/>
              <w:bottom w:w="60" w:type="dxa"/>
              <w:right w:w="100" w:type="dxa"/>
            </w:tcMar>
            <w:vAlign w:val="center"/>
          </w:tcPr>
          <w:p w14:paraId="1EAA4D05" w14:textId="77777777" w:rsidR="00386890" w:rsidRDefault="00000000">
            <w:r>
              <w:rPr>
                <w:sz w:val="17"/>
                <w:szCs w:val="17"/>
              </w:rPr>
              <w:t>PPE</w:t>
            </w:r>
          </w:p>
        </w:tc>
        <w:tc>
          <w:tcPr>
            <w:tcW w:w="0" w:type="auto"/>
            <w:tcMar>
              <w:top w:w="60" w:type="dxa"/>
              <w:left w:w="100" w:type="dxa"/>
              <w:bottom w:w="60" w:type="dxa"/>
              <w:right w:w="100" w:type="dxa"/>
            </w:tcMar>
            <w:vAlign w:val="center"/>
          </w:tcPr>
          <w:p w14:paraId="0659876C" w14:textId="77777777" w:rsidR="00386890" w:rsidRDefault="00000000">
            <w:r>
              <w:rPr>
                <w:sz w:val="17"/>
                <w:szCs w:val="17"/>
              </w:rPr>
              <w:t>Personal Protective Equipment</w:t>
            </w:r>
          </w:p>
        </w:tc>
      </w:tr>
      <w:tr w:rsidR="00386890" w14:paraId="60387081" w14:textId="77777777">
        <w:tblPrEx>
          <w:tblCellMar>
            <w:top w:w="0" w:type="dxa"/>
            <w:bottom w:w="0" w:type="dxa"/>
          </w:tblCellMar>
        </w:tblPrEx>
        <w:tc>
          <w:tcPr>
            <w:tcW w:w="0" w:type="auto"/>
            <w:tcMar>
              <w:top w:w="60" w:type="dxa"/>
              <w:left w:w="100" w:type="dxa"/>
              <w:bottom w:w="60" w:type="dxa"/>
              <w:right w:w="100" w:type="dxa"/>
            </w:tcMar>
            <w:vAlign w:val="center"/>
          </w:tcPr>
          <w:p w14:paraId="0984AF2F" w14:textId="77777777" w:rsidR="00386890" w:rsidRDefault="00000000">
            <w:r>
              <w:rPr>
                <w:sz w:val="17"/>
                <w:szCs w:val="17"/>
              </w:rPr>
              <w:t>PUWER</w:t>
            </w:r>
          </w:p>
        </w:tc>
        <w:tc>
          <w:tcPr>
            <w:tcW w:w="0" w:type="auto"/>
            <w:tcMar>
              <w:top w:w="60" w:type="dxa"/>
              <w:left w:w="100" w:type="dxa"/>
              <w:bottom w:w="60" w:type="dxa"/>
              <w:right w:w="100" w:type="dxa"/>
            </w:tcMar>
            <w:vAlign w:val="center"/>
          </w:tcPr>
          <w:p w14:paraId="42415A77" w14:textId="77777777" w:rsidR="00386890" w:rsidRDefault="00000000">
            <w:r>
              <w:rPr>
                <w:sz w:val="17"/>
                <w:szCs w:val="17"/>
              </w:rPr>
              <w:t>Provision and Use of Work Equipment Regulations (UK)</w:t>
            </w:r>
          </w:p>
        </w:tc>
      </w:tr>
      <w:tr w:rsidR="00386890" w14:paraId="445BBACC" w14:textId="77777777">
        <w:tblPrEx>
          <w:tblCellMar>
            <w:top w:w="0" w:type="dxa"/>
            <w:bottom w:w="0" w:type="dxa"/>
          </w:tblCellMar>
        </w:tblPrEx>
        <w:tc>
          <w:tcPr>
            <w:tcW w:w="0" w:type="auto"/>
            <w:tcMar>
              <w:top w:w="60" w:type="dxa"/>
              <w:left w:w="100" w:type="dxa"/>
              <w:bottom w:w="60" w:type="dxa"/>
              <w:right w:w="100" w:type="dxa"/>
            </w:tcMar>
            <w:vAlign w:val="center"/>
          </w:tcPr>
          <w:p w14:paraId="7040E691" w14:textId="77777777" w:rsidR="00386890" w:rsidRDefault="00000000">
            <w:r>
              <w:rPr>
                <w:sz w:val="17"/>
                <w:szCs w:val="17"/>
              </w:rPr>
              <w:t>ROI</w:t>
            </w:r>
          </w:p>
        </w:tc>
        <w:tc>
          <w:tcPr>
            <w:tcW w:w="0" w:type="auto"/>
            <w:tcMar>
              <w:top w:w="60" w:type="dxa"/>
              <w:left w:w="100" w:type="dxa"/>
              <w:bottom w:w="60" w:type="dxa"/>
              <w:right w:w="100" w:type="dxa"/>
            </w:tcMar>
            <w:vAlign w:val="center"/>
          </w:tcPr>
          <w:p w14:paraId="04DA437D" w14:textId="77777777" w:rsidR="00386890" w:rsidRDefault="00000000">
            <w:r>
              <w:rPr>
                <w:sz w:val="17"/>
                <w:szCs w:val="17"/>
              </w:rPr>
              <w:t>Return on Investment</w:t>
            </w:r>
          </w:p>
        </w:tc>
      </w:tr>
      <w:tr w:rsidR="00386890" w14:paraId="348C1306" w14:textId="77777777">
        <w:tblPrEx>
          <w:tblCellMar>
            <w:top w:w="0" w:type="dxa"/>
            <w:bottom w:w="0" w:type="dxa"/>
          </w:tblCellMar>
        </w:tblPrEx>
        <w:tc>
          <w:tcPr>
            <w:tcW w:w="0" w:type="auto"/>
            <w:tcMar>
              <w:top w:w="60" w:type="dxa"/>
              <w:left w:w="100" w:type="dxa"/>
              <w:bottom w:w="60" w:type="dxa"/>
              <w:right w:w="100" w:type="dxa"/>
            </w:tcMar>
            <w:vAlign w:val="center"/>
          </w:tcPr>
          <w:p w14:paraId="0E19FA48" w14:textId="77777777" w:rsidR="00386890" w:rsidRDefault="00000000">
            <w:r>
              <w:rPr>
                <w:sz w:val="17"/>
                <w:szCs w:val="17"/>
              </w:rPr>
              <w:t>RoSPA</w:t>
            </w:r>
          </w:p>
        </w:tc>
        <w:tc>
          <w:tcPr>
            <w:tcW w:w="0" w:type="auto"/>
            <w:tcMar>
              <w:top w:w="60" w:type="dxa"/>
              <w:left w:w="100" w:type="dxa"/>
              <w:bottom w:w="60" w:type="dxa"/>
              <w:right w:w="100" w:type="dxa"/>
            </w:tcMar>
            <w:vAlign w:val="center"/>
          </w:tcPr>
          <w:p w14:paraId="15A34B4A" w14:textId="77777777" w:rsidR="00386890" w:rsidRDefault="00000000">
            <w:r>
              <w:rPr>
                <w:sz w:val="17"/>
                <w:szCs w:val="17"/>
              </w:rPr>
              <w:t>Royal Society for the Prevention of Accidents (UK)</w:t>
            </w:r>
          </w:p>
        </w:tc>
      </w:tr>
      <w:tr w:rsidR="00386890" w14:paraId="7481B48D" w14:textId="77777777">
        <w:tblPrEx>
          <w:tblCellMar>
            <w:top w:w="0" w:type="dxa"/>
            <w:bottom w:w="0" w:type="dxa"/>
          </w:tblCellMar>
        </w:tblPrEx>
        <w:tc>
          <w:tcPr>
            <w:tcW w:w="0" w:type="auto"/>
            <w:tcMar>
              <w:top w:w="60" w:type="dxa"/>
              <w:left w:w="100" w:type="dxa"/>
              <w:bottom w:w="60" w:type="dxa"/>
              <w:right w:w="100" w:type="dxa"/>
            </w:tcMar>
            <w:vAlign w:val="center"/>
          </w:tcPr>
          <w:p w14:paraId="7CC2AF68" w14:textId="77777777" w:rsidR="00386890" w:rsidRDefault="00000000">
            <w:r>
              <w:rPr>
                <w:sz w:val="17"/>
                <w:szCs w:val="17"/>
              </w:rPr>
              <w:t>TCO</w:t>
            </w:r>
          </w:p>
        </w:tc>
        <w:tc>
          <w:tcPr>
            <w:tcW w:w="0" w:type="auto"/>
            <w:tcMar>
              <w:top w:w="60" w:type="dxa"/>
              <w:left w:w="100" w:type="dxa"/>
              <w:bottom w:w="60" w:type="dxa"/>
              <w:right w:w="100" w:type="dxa"/>
            </w:tcMar>
            <w:vAlign w:val="center"/>
          </w:tcPr>
          <w:p w14:paraId="53D02E01" w14:textId="77777777" w:rsidR="00386890" w:rsidRDefault="00000000">
            <w:r>
              <w:rPr>
                <w:sz w:val="17"/>
                <w:szCs w:val="17"/>
              </w:rPr>
              <w:t>Total Cost of Ownership</w:t>
            </w:r>
          </w:p>
        </w:tc>
      </w:tr>
      <w:tr w:rsidR="00386890" w14:paraId="475B8628" w14:textId="77777777">
        <w:tblPrEx>
          <w:tblCellMar>
            <w:top w:w="0" w:type="dxa"/>
            <w:bottom w:w="0" w:type="dxa"/>
          </w:tblCellMar>
        </w:tblPrEx>
        <w:tc>
          <w:tcPr>
            <w:tcW w:w="0" w:type="auto"/>
            <w:tcMar>
              <w:top w:w="60" w:type="dxa"/>
              <w:left w:w="100" w:type="dxa"/>
              <w:bottom w:w="60" w:type="dxa"/>
              <w:right w:w="100" w:type="dxa"/>
            </w:tcMar>
            <w:vAlign w:val="center"/>
          </w:tcPr>
          <w:p w14:paraId="2EF87D69" w14:textId="77777777" w:rsidR="00386890" w:rsidRDefault="00000000">
            <w:r>
              <w:rPr>
                <w:sz w:val="17"/>
                <w:szCs w:val="17"/>
              </w:rPr>
              <w:t>Yb</w:t>
            </w:r>
          </w:p>
        </w:tc>
        <w:tc>
          <w:tcPr>
            <w:tcW w:w="0" w:type="auto"/>
            <w:tcMar>
              <w:top w:w="60" w:type="dxa"/>
              <w:left w:w="100" w:type="dxa"/>
              <w:bottom w:w="60" w:type="dxa"/>
              <w:right w:w="100" w:type="dxa"/>
            </w:tcMar>
            <w:vAlign w:val="center"/>
          </w:tcPr>
          <w:p w14:paraId="0DEFE61C" w14:textId="77777777" w:rsidR="00386890" w:rsidRDefault="00000000">
            <w:r>
              <w:rPr>
                <w:sz w:val="17"/>
                <w:szCs w:val="17"/>
              </w:rPr>
              <w:t xml:space="preserve">Ytterbium (laser </w:t>
            </w:r>
            <w:proofErr w:type="spellStart"/>
            <w:r>
              <w:rPr>
                <w:sz w:val="17"/>
                <w:szCs w:val="17"/>
              </w:rPr>
              <w:t>fiber</w:t>
            </w:r>
            <w:proofErr w:type="spellEnd"/>
            <w:r>
              <w:rPr>
                <w:sz w:val="17"/>
                <w:szCs w:val="17"/>
              </w:rPr>
              <w:t xml:space="preserve"> dopant)</w:t>
            </w:r>
          </w:p>
        </w:tc>
      </w:tr>
      <w:tr w:rsidR="00386890" w14:paraId="75C38FEC" w14:textId="77777777">
        <w:tblPrEx>
          <w:tblCellMar>
            <w:top w:w="0" w:type="dxa"/>
            <w:bottom w:w="0" w:type="dxa"/>
          </w:tblCellMar>
        </w:tblPrEx>
        <w:tc>
          <w:tcPr>
            <w:tcW w:w="0" w:type="auto"/>
            <w:tcMar>
              <w:top w:w="60" w:type="dxa"/>
              <w:left w:w="100" w:type="dxa"/>
              <w:bottom w:w="60" w:type="dxa"/>
              <w:right w:w="100" w:type="dxa"/>
            </w:tcMar>
            <w:vAlign w:val="center"/>
          </w:tcPr>
          <w:p w14:paraId="1D367909" w14:textId="77777777" w:rsidR="00386890" w:rsidRDefault="00000000">
            <w:r>
              <w:rPr>
                <w:sz w:val="17"/>
                <w:szCs w:val="17"/>
              </w:rPr>
              <w:t>λ</w:t>
            </w:r>
          </w:p>
        </w:tc>
        <w:tc>
          <w:tcPr>
            <w:tcW w:w="0" w:type="auto"/>
            <w:tcMar>
              <w:top w:w="60" w:type="dxa"/>
              <w:left w:w="100" w:type="dxa"/>
              <w:bottom w:w="60" w:type="dxa"/>
              <w:right w:w="100" w:type="dxa"/>
            </w:tcMar>
            <w:vAlign w:val="center"/>
          </w:tcPr>
          <w:p w14:paraId="4DCE1334" w14:textId="77777777" w:rsidR="00386890" w:rsidRDefault="00000000">
            <w:r>
              <w:rPr>
                <w:sz w:val="17"/>
                <w:szCs w:val="17"/>
              </w:rPr>
              <w:t>Wavelength</w:t>
            </w:r>
          </w:p>
        </w:tc>
      </w:tr>
    </w:tbl>
    <w:p w14:paraId="4556E66B" w14:textId="77777777" w:rsidR="006807E4" w:rsidRDefault="006807E4">
      <w:pPr>
        <w:pStyle w:val="Heading1"/>
        <w:spacing w:before="360" w:after="200"/>
        <w:rPr>
          <w:b/>
          <w:bCs/>
          <w:sz w:val="26"/>
          <w:szCs w:val="26"/>
        </w:rPr>
      </w:pPr>
    </w:p>
    <w:p w14:paraId="71A24321" w14:textId="77777777" w:rsidR="006807E4" w:rsidRDefault="006807E4">
      <w:pPr>
        <w:rPr>
          <w:b/>
          <w:bCs/>
          <w:color w:val="2E74B5"/>
          <w:sz w:val="26"/>
          <w:szCs w:val="26"/>
        </w:rPr>
      </w:pPr>
      <w:r>
        <w:rPr>
          <w:b/>
          <w:bCs/>
          <w:sz w:val="26"/>
          <w:szCs w:val="26"/>
        </w:rPr>
        <w:br w:type="page"/>
      </w:r>
    </w:p>
    <w:p w14:paraId="6A754F5C" w14:textId="31D27369" w:rsidR="00386890" w:rsidRDefault="00000000">
      <w:pPr>
        <w:pStyle w:val="Heading1"/>
        <w:spacing w:before="360" w:after="200"/>
      </w:pPr>
      <w:bookmarkStart w:id="22" w:name="_Toc240012161"/>
      <w:r>
        <w:rPr>
          <w:b/>
          <w:bCs/>
          <w:sz w:val="26"/>
          <w:szCs w:val="26"/>
        </w:rPr>
        <w:lastRenderedPageBreak/>
        <w:t>11. References</w:t>
      </w:r>
      <w:bookmarkEnd w:id="22"/>
    </w:p>
    <w:p w14:paraId="31727B94" w14:textId="77777777" w:rsidR="00386890" w:rsidRDefault="00000000">
      <w:pPr>
        <w:spacing w:after="100"/>
      </w:pPr>
      <w:r>
        <w:rPr>
          <w:sz w:val="17"/>
          <w:szCs w:val="17"/>
        </w:rPr>
        <w:t>1. American Welding Society (2023). Safety and Health Fact Sheet No. 12 — Contact Lens Use in Welding. https://aws-p-001-delivery.sitecorecontenthub.cloud/api/public/content/Fact-Sheet-No.12</w:t>
      </w:r>
    </w:p>
    <w:p w14:paraId="0FFB999C" w14:textId="77777777" w:rsidR="00386890" w:rsidRDefault="00000000">
      <w:pPr>
        <w:spacing w:after="100"/>
      </w:pPr>
      <w:r w:rsidRPr="006807E4">
        <w:rPr>
          <w:sz w:val="17"/>
          <w:szCs w:val="17"/>
          <w:lang w:val="fr-FR"/>
        </w:rPr>
        <w:t xml:space="preserve">2. </w:t>
      </w:r>
      <w:proofErr w:type="spellStart"/>
      <w:r w:rsidRPr="006807E4">
        <w:rPr>
          <w:sz w:val="17"/>
          <w:szCs w:val="17"/>
          <w:lang w:val="fr-FR"/>
        </w:rPr>
        <w:t>Lövsund</w:t>
      </w:r>
      <w:proofErr w:type="spellEnd"/>
      <w:r w:rsidRPr="006807E4">
        <w:rPr>
          <w:sz w:val="17"/>
          <w:szCs w:val="17"/>
          <w:lang w:val="fr-FR"/>
        </w:rPr>
        <w:t xml:space="preserve">, P., Nilsson, S. E., et al. </w:t>
      </w:r>
      <w:r>
        <w:rPr>
          <w:sz w:val="17"/>
          <w:szCs w:val="17"/>
        </w:rPr>
        <w:t>(1979). Temperature changes in contact lenses in connection with radiation from welding arcs. Scandinavian Journal of Work, Environment &amp; Health. PubMed: https://pubmed.ncbi.nlm.nih.gov/20120575/</w:t>
      </w:r>
    </w:p>
    <w:p w14:paraId="4240BC08" w14:textId="77777777" w:rsidR="00386890" w:rsidRDefault="00000000">
      <w:pPr>
        <w:spacing w:after="100"/>
      </w:pPr>
      <w:r w:rsidRPr="006807E4">
        <w:rPr>
          <w:sz w:val="17"/>
          <w:szCs w:val="17"/>
          <w:lang w:val="fr-FR"/>
        </w:rPr>
        <w:t xml:space="preserve">3. </w:t>
      </w:r>
      <w:proofErr w:type="spellStart"/>
      <w:r w:rsidRPr="006807E4">
        <w:rPr>
          <w:sz w:val="17"/>
          <w:szCs w:val="17"/>
          <w:lang w:val="fr-FR"/>
        </w:rPr>
        <w:t>Lövsund</w:t>
      </w:r>
      <w:proofErr w:type="spellEnd"/>
      <w:r w:rsidRPr="006807E4">
        <w:rPr>
          <w:sz w:val="17"/>
          <w:szCs w:val="17"/>
          <w:lang w:val="fr-FR"/>
        </w:rPr>
        <w:t xml:space="preserve">, P., Nilsson, S. E., et al. </w:t>
      </w:r>
      <w:r>
        <w:rPr>
          <w:sz w:val="17"/>
          <w:szCs w:val="17"/>
        </w:rPr>
        <w:t>Temperature changes in contact lenses in connection with radiation from infrared heaters. Scand J Work Environ Health. DOI: https://doi.org/10.5271/sjweh.3102</w:t>
      </w:r>
    </w:p>
    <w:p w14:paraId="487A47E3" w14:textId="77777777" w:rsidR="00386890" w:rsidRDefault="00000000">
      <w:pPr>
        <w:spacing w:after="100"/>
      </w:pPr>
      <w:r>
        <w:rPr>
          <w:sz w:val="17"/>
          <w:szCs w:val="17"/>
        </w:rPr>
        <w:t>4. Transmittance and absorption properties of contact lenses. Scand J Work Environ Health. DOI: https://doi.org/10.5271/sjweh.3100</w:t>
      </w:r>
    </w:p>
    <w:p w14:paraId="1624A629" w14:textId="77777777" w:rsidR="00386890" w:rsidRDefault="00000000">
      <w:pPr>
        <w:spacing w:after="100"/>
      </w:pPr>
      <w:r>
        <w:rPr>
          <w:sz w:val="17"/>
          <w:szCs w:val="17"/>
        </w:rPr>
        <w:t>5. American College of Occupational and Environmental Medicine (2021). Use of Contact Lenses in an Industrial Environment. DOI: https://doi.org/10.1097/jom.0000000000002132</w:t>
      </w:r>
    </w:p>
    <w:p w14:paraId="17072C71" w14:textId="77777777" w:rsidR="00386890" w:rsidRDefault="00000000">
      <w:pPr>
        <w:spacing w:after="100"/>
      </w:pPr>
      <w:r>
        <w:rPr>
          <w:sz w:val="17"/>
          <w:szCs w:val="17"/>
        </w:rPr>
        <w:t>6. Canadian Centre for Occupational Health and Safety. Contact Lenses at Work / OSH Answers. https://www.ccohs.ca/oshanswers/prevention/contact_len.html</w:t>
      </w:r>
    </w:p>
    <w:p w14:paraId="0940B1B6" w14:textId="77777777" w:rsidR="00386890" w:rsidRDefault="00000000">
      <w:pPr>
        <w:spacing w:after="100"/>
      </w:pPr>
      <w:r>
        <w:rPr>
          <w:sz w:val="17"/>
          <w:szCs w:val="17"/>
        </w:rPr>
        <w:t>7. Smalley, P. J. (2011). Laser safety: Risks, hazards, and control measures. Laser Therapy. DOI: https://doi.org/10.5978/islsm.20.95</w:t>
      </w:r>
    </w:p>
    <w:p w14:paraId="11EE519C" w14:textId="77777777" w:rsidR="00386890" w:rsidRDefault="00000000">
      <w:pPr>
        <w:spacing w:after="100"/>
      </w:pPr>
      <w:r>
        <w:rPr>
          <w:sz w:val="17"/>
          <w:szCs w:val="17"/>
        </w:rPr>
        <w:t>8. NIOSH. Current Intelligence Bulletin 59 — Contact Lens Use in a Chemical Environment. https://stacks.cdc.gov/view/cdc/7056</w:t>
      </w:r>
    </w:p>
    <w:p w14:paraId="7EBD93E0" w14:textId="77777777" w:rsidR="00386890" w:rsidRDefault="00000000">
      <w:pPr>
        <w:spacing w:after="100"/>
      </w:pPr>
      <w:r w:rsidRPr="006807E4">
        <w:rPr>
          <w:sz w:val="17"/>
          <w:szCs w:val="17"/>
          <w:lang w:val="fr-FR"/>
        </w:rPr>
        <w:t xml:space="preserve">9. Carter, L. M., et al. </w:t>
      </w:r>
      <w:r>
        <w:rPr>
          <w:sz w:val="17"/>
          <w:szCs w:val="17"/>
        </w:rPr>
        <w:t>(2008). Facial injuries from angle grinders. Head &amp; Face Medicine, 4:1. DOI: https://doi.org/10.1186/1746-160X-4-1</w:t>
      </w:r>
    </w:p>
    <w:p w14:paraId="49DF0025" w14:textId="77777777" w:rsidR="00386890" w:rsidRDefault="00000000">
      <w:pPr>
        <w:spacing w:after="100"/>
      </w:pPr>
      <w:r>
        <w:rPr>
          <w:sz w:val="17"/>
          <w:szCs w:val="17"/>
        </w:rPr>
        <w:t>10. Health and Safety Executive. HSG17 — Safety in the use of abrasive wheels. https://www.hse.gov.uk/pubns/books/hsg17.htm</w:t>
      </w:r>
    </w:p>
    <w:p w14:paraId="0B156A61" w14:textId="77777777" w:rsidR="00386890" w:rsidRDefault="00000000">
      <w:pPr>
        <w:spacing w:after="100"/>
      </w:pPr>
      <w:r>
        <w:rPr>
          <w:sz w:val="17"/>
          <w:szCs w:val="17"/>
        </w:rPr>
        <w:t>11. Health and Safety Executive. INDG175 — Hand-arm vibration. https://www.hse.gov.uk/pubns/indg175.pdf</w:t>
      </w:r>
    </w:p>
    <w:p w14:paraId="4F9EC409" w14:textId="77777777" w:rsidR="00386890" w:rsidRDefault="00000000">
      <w:pPr>
        <w:spacing w:after="100"/>
      </w:pPr>
      <w:r>
        <w:rPr>
          <w:sz w:val="17"/>
          <w:szCs w:val="17"/>
        </w:rPr>
        <w:t xml:space="preserve">12. </w:t>
      </w:r>
      <w:proofErr w:type="spellStart"/>
      <w:r>
        <w:rPr>
          <w:sz w:val="17"/>
          <w:szCs w:val="17"/>
        </w:rPr>
        <w:t>Netalux</w:t>
      </w:r>
      <w:proofErr w:type="spellEnd"/>
      <w:r>
        <w:rPr>
          <w:sz w:val="17"/>
          <w:szCs w:val="17"/>
        </w:rPr>
        <w:t>. Needle® laser cleaning (public specifications). https://netalux.com/product/needle/</w:t>
      </w:r>
    </w:p>
    <w:p w14:paraId="18D35AF9" w14:textId="77777777" w:rsidR="00386890" w:rsidRDefault="00000000">
      <w:pPr>
        <w:spacing w:after="100"/>
      </w:pPr>
      <w:r>
        <w:rPr>
          <w:sz w:val="17"/>
          <w:szCs w:val="17"/>
        </w:rPr>
        <w:t>13. Soong, J., et al. (2021). Angle grinder injuries. Trauma Case Reports. PMC: https://pmc.ncbi.nlm.nih.gov/articles/PMC7900576/</w:t>
      </w:r>
    </w:p>
    <w:p w14:paraId="7F55C3CA" w14:textId="77777777" w:rsidR="00386890" w:rsidRDefault="00000000">
      <w:pPr>
        <w:spacing w:after="100"/>
      </w:pPr>
      <w:r>
        <w:rPr>
          <w:sz w:val="17"/>
          <w:szCs w:val="17"/>
        </w:rPr>
        <w:t>14. Virginia Transportation Research Council (2025). Induction and Laser Ablation... (extractors / LGAC). https://vtrc.virginia.gov/media/vtrc/vtrc-pdf/vtrc-pdf/26-R10.pdf</w:t>
      </w:r>
    </w:p>
    <w:p w14:paraId="18452B93" w14:textId="77777777" w:rsidR="00386890" w:rsidRDefault="00000000">
      <w:pPr>
        <w:pStyle w:val="Heading1"/>
        <w:spacing w:before="360" w:after="200"/>
      </w:pPr>
      <w:bookmarkStart w:id="23" w:name="_Toc240012162"/>
      <w:r>
        <w:rPr>
          <w:b/>
          <w:bCs/>
          <w:sz w:val="26"/>
          <w:szCs w:val="26"/>
        </w:rPr>
        <w:t>12. Limitations of This Document</w:t>
      </w:r>
      <w:bookmarkEnd w:id="23"/>
    </w:p>
    <w:p w14:paraId="30A55E60" w14:textId="77777777" w:rsidR="00386890" w:rsidRDefault="00000000">
      <w:pPr>
        <w:spacing w:after="160"/>
      </w:pPr>
      <w:r>
        <w:t>• No site-measured 5-year TCO for the two rigs (hours and costs not yet collected).</w:t>
      </w:r>
    </w:p>
    <w:p w14:paraId="532256A6" w14:textId="77777777" w:rsidR="00386890" w:rsidRDefault="00000000">
      <w:pPr>
        <w:spacing w:after="160"/>
      </w:pPr>
      <w:r>
        <w:t xml:space="preserve">• No published trial combining </w:t>
      </w:r>
      <w:proofErr w:type="spellStart"/>
      <w:r>
        <w:t>Netalux</w:t>
      </w:r>
      <w:proofErr w:type="spellEnd"/>
      <w:r>
        <w:t xml:space="preserve"> equipment and contact-lens wear was located.</w:t>
      </w:r>
    </w:p>
    <w:p w14:paraId="67630CF9" w14:textId="77777777" w:rsidR="00386890" w:rsidRDefault="00000000">
      <w:pPr>
        <w:spacing w:after="160"/>
      </w:pPr>
      <w:r>
        <w:t>• Full paywalled access to all SJWEH pages and the complete ANSI Z136 standard was not available in this session (abstracts plus convergent secondary organizations were used).</w:t>
      </w:r>
    </w:p>
    <w:p w14:paraId="5DF59129" w14:textId="77777777" w:rsidR="00386890" w:rsidRDefault="00000000">
      <w:pPr>
        <w:spacing w:after="160"/>
      </w:pPr>
      <w:r>
        <w:t>• The utilization-intensity argument in Section 6 is a cost-structure and continuous-improvement reasoning framework (c), not a measured result; it is designed to shape how the pilot in Section 8 is run and read, not to replace it.</w:t>
      </w:r>
    </w:p>
    <w:p w14:paraId="30CEB088" w14:textId="243F4577" w:rsidR="006807E4" w:rsidRDefault="006807E4">
      <w:r>
        <w:br w:type="page"/>
      </w:r>
    </w:p>
    <w:p w14:paraId="2A589F7A" w14:textId="77777777" w:rsidR="00386890" w:rsidRDefault="00386890">
      <w:pPr>
        <w:spacing w:after="160"/>
      </w:pPr>
    </w:p>
    <w:p w14:paraId="1F02DDBE" w14:textId="77777777" w:rsidR="006807E4" w:rsidRDefault="006807E4" w:rsidP="006807E4">
      <w:pPr>
        <w:pStyle w:val="Heading1"/>
        <w:spacing w:after="240"/>
      </w:pPr>
      <w:bookmarkStart w:id="24" w:name="_Toc240012163"/>
      <w:r>
        <w:rPr>
          <w:b/>
          <w:bCs/>
          <w:sz w:val="28"/>
          <w:szCs w:val="28"/>
        </w:rPr>
        <w:t>Index</w:t>
      </w:r>
      <w:bookmarkEnd w:id="24"/>
    </w:p>
    <w:p w14:paraId="4E2684B2" w14:textId="08658547" w:rsidR="006807E4" w:rsidRDefault="006807E4">
      <w:pPr>
        <w:pStyle w:val="TOC1"/>
        <w:tabs>
          <w:tab w:val="right" w:leader="dot" w:pos="10998"/>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40012139" w:history="1">
        <w:r w:rsidRPr="0096081B">
          <w:rPr>
            <w:rStyle w:val="Hyperlink"/>
            <w:b/>
            <w:bCs/>
            <w:noProof/>
          </w:rPr>
          <w:t>Revision History</w:t>
        </w:r>
        <w:r>
          <w:rPr>
            <w:noProof/>
            <w:webHidden/>
          </w:rPr>
          <w:tab/>
        </w:r>
        <w:r>
          <w:rPr>
            <w:noProof/>
            <w:webHidden/>
          </w:rPr>
          <w:fldChar w:fldCharType="begin"/>
        </w:r>
        <w:r>
          <w:rPr>
            <w:noProof/>
            <w:webHidden/>
          </w:rPr>
          <w:instrText xml:space="preserve"> PAGEREF _Toc240012139 \h </w:instrText>
        </w:r>
        <w:r>
          <w:rPr>
            <w:noProof/>
            <w:webHidden/>
          </w:rPr>
        </w:r>
        <w:r>
          <w:rPr>
            <w:noProof/>
            <w:webHidden/>
          </w:rPr>
          <w:fldChar w:fldCharType="separate"/>
        </w:r>
        <w:r>
          <w:rPr>
            <w:noProof/>
            <w:webHidden/>
          </w:rPr>
          <w:t>2</w:t>
        </w:r>
        <w:r>
          <w:rPr>
            <w:noProof/>
            <w:webHidden/>
          </w:rPr>
          <w:fldChar w:fldCharType="end"/>
        </w:r>
      </w:hyperlink>
    </w:p>
    <w:p w14:paraId="36BD91E2" w14:textId="2D542868" w:rsidR="006807E4" w:rsidRDefault="006807E4">
      <w:pPr>
        <w:pStyle w:val="TOC1"/>
        <w:tabs>
          <w:tab w:val="right" w:leader="dot" w:pos="10998"/>
        </w:tabs>
        <w:rPr>
          <w:rFonts w:asciiTheme="minorHAnsi" w:eastAsiaTheme="minorEastAsia" w:hAnsiTheme="minorHAnsi" w:cstheme="minorBidi"/>
          <w:noProof/>
          <w:kern w:val="2"/>
          <w:sz w:val="24"/>
          <w:szCs w:val="24"/>
          <w14:ligatures w14:val="standardContextual"/>
        </w:rPr>
      </w:pPr>
      <w:hyperlink w:anchor="_Toc240012140" w:history="1">
        <w:r w:rsidRPr="0096081B">
          <w:rPr>
            <w:rStyle w:val="Hyperlink"/>
            <w:b/>
            <w:bCs/>
            <w:noProof/>
          </w:rPr>
          <w:t>0. Editorial Note — Continuous-Improvement Framing and Vendor Neutrality</w:t>
        </w:r>
        <w:r>
          <w:rPr>
            <w:noProof/>
            <w:webHidden/>
          </w:rPr>
          <w:tab/>
        </w:r>
        <w:r>
          <w:rPr>
            <w:noProof/>
            <w:webHidden/>
          </w:rPr>
          <w:fldChar w:fldCharType="begin"/>
        </w:r>
        <w:r>
          <w:rPr>
            <w:noProof/>
            <w:webHidden/>
          </w:rPr>
          <w:instrText xml:space="preserve"> PAGEREF _Toc240012140 \h </w:instrText>
        </w:r>
        <w:r>
          <w:rPr>
            <w:noProof/>
            <w:webHidden/>
          </w:rPr>
        </w:r>
        <w:r>
          <w:rPr>
            <w:noProof/>
            <w:webHidden/>
          </w:rPr>
          <w:fldChar w:fldCharType="separate"/>
        </w:r>
        <w:r>
          <w:rPr>
            <w:noProof/>
            <w:webHidden/>
          </w:rPr>
          <w:t>3</w:t>
        </w:r>
        <w:r>
          <w:rPr>
            <w:noProof/>
            <w:webHidden/>
          </w:rPr>
          <w:fldChar w:fldCharType="end"/>
        </w:r>
      </w:hyperlink>
    </w:p>
    <w:p w14:paraId="21925030" w14:textId="3B8617D8" w:rsidR="006807E4" w:rsidRDefault="006807E4">
      <w:pPr>
        <w:pStyle w:val="TOC1"/>
        <w:tabs>
          <w:tab w:val="right" w:leader="dot" w:pos="10998"/>
        </w:tabs>
        <w:rPr>
          <w:rFonts w:asciiTheme="minorHAnsi" w:eastAsiaTheme="minorEastAsia" w:hAnsiTheme="minorHAnsi" w:cstheme="minorBidi"/>
          <w:noProof/>
          <w:kern w:val="2"/>
          <w:sz w:val="24"/>
          <w:szCs w:val="24"/>
          <w14:ligatures w14:val="standardContextual"/>
        </w:rPr>
      </w:pPr>
      <w:hyperlink w:anchor="_Toc240012141" w:history="1">
        <w:r w:rsidRPr="0096081B">
          <w:rPr>
            <w:rStyle w:val="Hyperlink"/>
            <w:b/>
            <w:bCs/>
            <w:noProof/>
          </w:rPr>
          <w:t>1. Executive Summary</w:t>
        </w:r>
        <w:r>
          <w:rPr>
            <w:noProof/>
            <w:webHidden/>
          </w:rPr>
          <w:tab/>
        </w:r>
        <w:r>
          <w:rPr>
            <w:noProof/>
            <w:webHidden/>
          </w:rPr>
          <w:fldChar w:fldCharType="begin"/>
        </w:r>
        <w:r>
          <w:rPr>
            <w:noProof/>
            <w:webHidden/>
          </w:rPr>
          <w:instrText xml:space="preserve"> PAGEREF _Toc240012141 \h </w:instrText>
        </w:r>
        <w:r>
          <w:rPr>
            <w:noProof/>
            <w:webHidden/>
          </w:rPr>
        </w:r>
        <w:r>
          <w:rPr>
            <w:noProof/>
            <w:webHidden/>
          </w:rPr>
          <w:fldChar w:fldCharType="separate"/>
        </w:r>
        <w:r>
          <w:rPr>
            <w:noProof/>
            <w:webHidden/>
          </w:rPr>
          <w:t>3</w:t>
        </w:r>
        <w:r>
          <w:rPr>
            <w:noProof/>
            <w:webHidden/>
          </w:rPr>
          <w:fldChar w:fldCharType="end"/>
        </w:r>
      </w:hyperlink>
    </w:p>
    <w:p w14:paraId="051B070D" w14:textId="11D49502" w:rsidR="006807E4" w:rsidRDefault="006807E4">
      <w:pPr>
        <w:pStyle w:val="TOC1"/>
        <w:tabs>
          <w:tab w:val="right" w:leader="dot" w:pos="10998"/>
        </w:tabs>
        <w:rPr>
          <w:rFonts w:asciiTheme="minorHAnsi" w:eastAsiaTheme="minorEastAsia" w:hAnsiTheme="minorHAnsi" w:cstheme="minorBidi"/>
          <w:noProof/>
          <w:kern w:val="2"/>
          <w:sz w:val="24"/>
          <w:szCs w:val="24"/>
          <w14:ligatures w14:val="standardContextual"/>
        </w:rPr>
      </w:pPr>
      <w:hyperlink w:anchor="_Toc240012142" w:history="1">
        <w:r w:rsidRPr="0096081B">
          <w:rPr>
            <w:rStyle w:val="Hyperlink"/>
            <w:b/>
            <w:bCs/>
            <w:noProof/>
          </w:rPr>
          <w:t>2. Problem Statement — Angle Grinding as a Source of Waste</w:t>
        </w:r>
        <w:r>
          <w:rPr>
            <w:noProof/>
            <w:webHidden/>
          </w:rPr>
          <w:tab/>
        </w:r>
        <w:r>
          <w:rPr>
            <w:noProof/>
            <w:webHidden/>
          </w:rPr>
          <w:fldChar w:fldCharType="begin"/>
        </w:r>
        <w:r>
          <w:rPr>
            <w:noProof/>
            <w:webHidden/>
          </w:rPr>
          <w:instrText xml:space="preserve"> PAGEREF _Toc240012142 \h </w:instrText>
        </w:r>
        <w:r>
          <w:rPr>
            <w:noProof/>
            <w:webHidden/>
          </w:rPr>
        </w:r>
        <w:r>
          <w:rPr>
            <w:noProof/>
            <w:webHidden/>
          </w:rPr>
          <w:fldChar w:fldCharType="separate"/>
        </w:r>
        <w:r>
          <w:rPr>
            <w:noProof/>
            <w:webHidden/>
          </w:rPr>
          <w:t>3</w:t>
        </w:r>
        <w:r>
          <w:rPr>
            <w:noProof/>
            <w:webHidden/>
          </w:rPr>
          <w:fldChar w:fldCharType="end"/>
        </w:r>
      </w:hyperlink>
    </w:p>
    <w:p w14:paraId="78EA2761" w14:textId="7B24A923" w:rsidR="006807E4" w:rsidRDefault="006807E4">
      <w:pPr>
        <w:pStyle w:val="TOC1"/>
        <w:tabs>
          <w:tab w:val="right" w:leader="dot" w:pos="10998"/>
        </w:tabs>
        <w:rPr>
          <w:rFonts w:asciiTheme="minorHAnsi" w:eastAsiaTheme="minorEastAsia" w:hAnsiTheme="minorHAnsi" w:cstheme="minorBidi"/>
          <w:noProof/>
          <w:kern w:val="2"/>
          <w:sz w:val="24"/>
          <w:szCs w:val="24"/>
          <w14:ligatures w14:val="standardContextual"/>
        </w:rPr>
      </w:pPr>
      <w:hyperlink w:anchor="_Toc240012143" w:history="1">
        <w:r w:rsidRPr="0096081B">
          <w:rPr>
            <w:rStyle w:val="Hyperlink"/>
            <w:b/>
            <w:bCs/>
            <w:noProof/>
          </w:rPr>
          <w:t>3. Technical Scope</w:t>
        </w:r>
        <w:r>
          <w:rPr>
            <w:noProof/>
            <w:webHidden/>
          </w:rPr>
          <w:tab/>
        </w:r>
        <w:r>
          <w:rPr>
            <w:noProof/>
            <w:webHidden/>
          </w:rPr>
          <w:fldChar w:fldCharType="begin"/>
        </w:r>
        <w:r>
          <w:rPr>
            <w:noProof/>
            <w:webHidden/>
          </w:rPr>
          <w:instrText xml:space="preserve"> PAGEREF _Toc240012143 \h </w:instrText>
        </w:r>
        <w:r>
          <w:rPr>
            <w:noProof/>
            <w:webHidden/>
          </w:rPr>
        </w:r>
        <w:r>
          <w:rPr>
            <w:noProof/>
            <w:webHidden/>
          </w:rPr>
          <w:fldChar w:fldCharType="separate"/>
        </w:r>
        <w:r>
          <w:rPr>
            <w:noProof/>
            <w:webHidden/>
          </w:rPr>
          <w:t>4</w:t>
        </w:r>
        <w:r>
          <w:rPr>
            <w:noProof/>
            <w:webHidden/>
          </w:rPr>
          <w:fldChar w:fldCharType="end"/>
        </w:r>
      </w:hyperlink>
    </w:p>
    <w:p w14:paraId="49F5B424" w14:textId="79CF4B5D" w:rsidR="006807E4" w:rsidRDefault="006807E4">
      <w:pPr>
        <w:pStyle w:val="TOC2"/>
        <w:tabs>
          <w:tab w:val="right" w:leader="dot" w:pos="10998"/>
        </w:tabs>
        <w:rPr>
          <w:rFonts w:asciiTheme="minorHAnsi" w:eastAsiaTheme="minorEastAsia" w:hAnsiTheme="minorHAnsi" w:cstheme="minorBidi"/>
          <w:noProof/>
          <w:kern w:val="2"/>
          <w:sz w:val="24"/>
          <w:szCs w:val="24"/>
          <w14:ligatures w14:val="standardContextual"/>
        </w:rPr>
      </w:pPr>
      <w:hyperlink w:anchor="_Toc240012144" w:history="1">
        <w:r w:rsidRPr="0096081B">
          <w:rPr>
            <w:rStyle w:val="Hyperlink"/>
            <w:b/>
            <w:bCs/>
            <w:noProof/>
          </w:rPr>
          <w:t>3.1 Two rigs — surface-preparation tasks</w:t>
        </w:r>
        <w:r>
          <w:rPr>
            <w:noProof/>
            <w:webHidden/>
          </w:rPr>
          <w:tab/>
        </w:r>
        <w:r>
          <w:rPr>
            <w:noProof/>
            <w:webHidden/>
          </w:rPr>
          <w:fldChar w:fldCharType="begin"/>
        </w:r>
        <w:r>
          <w:rPr>
            <w:noProof/>
            <w:webHidden/>
          </w:rPr>
          <w:instrText xml:space="preserve"> PAGEREF _Toc240012144 \h </w:instrText>
        </w:r>
        <w:r>
          <w:rPr>
            <w:noProof/>
            <w:webHidden/>
          </w:rPr>
        </w:r>
        <w:r>
          <w:rPr>
            <w:noProof/>
            <w:webHidden/>
          </w:rPr>
          <w:fldChar w:fldCharType="separate"/>
        </w:r>
        <w:r>
          <w:rPr>
            <w:noProof/>
            <w:webHidden/>
          </w:rPr>
          <w:t>4</w:t>
        </w:r>
        <w:r>
          <w:rPr>
            <w:noProof/>
            <w:webHidden/>
          </w:rPr>
          <w:fldChar w:fldCharType="end"/>
        </w:r>
      </w:hyperlink>
    </w:p>
    <w:p w14:paraId="720CA550" w14:textId="16711344" w:rsidR="006807E4" w:rsidRDefault="006807E4">
      <w:pPr>
        <w:pStyle w:val="TOC2"/>
        <w:tabs>
          <w:tab w:val="right" w:leader="dot" w:pos="10998"/>
        </w:tabs>
        <w:rPr>
          <w:rFonts w:asciiTheme="minorHAnsi" w:eastAsiaTheme="minorEastAsia" w:hAnsiTheme="minorHAnsi" w:cstheme="minorBidi"/>
          <w:noProof/>
          <w:kern w:val="2"/>
          <w:sz w:val="24"/>
          <w:szCs w:val="24"/>
          <w14:ligatures w14:val="standardContextual"/>
        </w:rPr>
      </w:pPr>
      <w:hyperlink w:anchor="_Toc240012145" w:history="1">
        <w:r w:rsidRPr="0096081B">
          <w:rPr>
            <w:rStyle w:val="Hyperlink"/>
            <w:b/>
            <w:bCs/>
            <w:noProof/>
          </w:rPr>
          <w:t>3.2 Illustrative technology — Needle® (Netalux), public manufacturer data</w:t>
        </w:r>
        <w:r>
          <w:rPr>
            <w:noProof/>
            <w:webHidden/>
          </w:rPr>
          <w:tab/>
        </w:r>
        <w:r>
          <w:rPr>
            <w:noProof/>
            <w:webHidden/>
          </w:rPr>
          <w:fldChar w:fldCharType="begin"/>
        </w:r>
        <w:r>
          <w:rPr>
            <w:noProof/>
            <w:webHidden/>
          </w:rPr>
          <w:instrText xml:space="preserve"> PAGEREF _Toc240012145 \h </w:instrText>
        </w:r>
        <w:r>
          <w:rPr>
            <w:noProof/>
            <w:webHidden/>
          </w:rPr>
        </w:r>
        <w:r>
          <w:rPr>
            <w:noProof/>
            <w:webHidden/>
          </w:rPr>
          <w:fldChar w:fldCharType="separate"/>
        </w:r>
        <w:r>
          <w:rPr>
            <w:noProof/>
            <w:webHidden/>
          </w:rPr>
          <w:t>4</w:t>
        </w:r>
        <w:r>
          <w:rPr>
            <w:noProof/>
            <w:webHidden/>
          </w:rPr>
          <w:fldChar w:fldCharType="end"/>
        </w:r>
      </w:hyperlink>
    </w:p>
    <w:p w14:paraId="6A2EDEE7" w14:textId="2141BBE8" w:rsidR="006807E4" w:rsidRDefault="006807E4">
      <w:pPr>
        <w:pStyle w:val="TOC1"/>
        <w:tabs>
          <w:tab w:val="right" w:leader="dot" w:pos="10998"/>
        </w:tabs>
        <w:rPr>
          <w:rFonts w:asciiTheme="minorHAnsi" w:eastAsiaTheme="minorEastAsia" w:hAnsiTheme="minorHAnsi" w:cstheme="minorBidi"/>
          <w:noProof/>
          <w:kern w:val="2"/>
          <w:sz w:val="24"/>
          <w:szCs w:val="24"/>
          <w14:ligatures w14:val="standardContextual"/>
        </w:rPr>
      </w:pPr>
      <w:hyperlink w:anchor="_Toc240012146" w:history="1">
        <w:r w:rsidRPr="0096081B">
          <w:rPr>
            <w:rStyle w:val="Hyperlink"/>
            <w:b/>
            <w:bCs/>
            <w:noProof/>
          </w:rPr>
          <w:t>4. Angle-Grinder Risk Evidence (Sourced)</w:t>
        </w:r>
        <w:r>
          <w:rPr>
            <w:noProof/>
            <w:webHidden/>
          </w:rPr>
          <w:tab/>
        </w:r>
        <w:r>
          <w:rPr>
            <w:noProof/>
            <w:webHidden/>
          </w:rPr>
          <w:fldChar w:fldCharType="begin"/>
        </w:r>
        <w:r>
          <w:rPr>
            <w:noProof/>
            <w:webHidden/>
          </w:rPr>
          <w:instrText xml:space="preserve"> PAGEREF _Toc240012146 \h </w:instrText>
        </w:r>
        <w:r>
          <w:rPr>
            <w:noProof/>
            <w:webHidden/>
          </w:rPr>
        </w:r>
        <w:r>
          <w:rPr>
            <w:noProof/>
            <w:webHidden/>
          </w:rPr>
          <w:fldChar w:fldCharType="separate"/>
        </w:r>
        <w:r>
          <w:rPr>
            <w:noProof/>
            <w:webHidden/>
          </w:rPr>
          <w:t>4</w:t>
        </w:r>
        <w:r>
          <w:rPr>
            <w:noProof/>
            <w:webHidden/>
          </w:rPr>
          <w:fldChar w:fldCharType="end"/>
        </w:r>
      </w:hyperlink>
    </w:p>
    <w:p w14:paraId="232A32E4" w14:textId="347CDB72" w:rsidR="006807E4" w:rsidRDefault="006807E4">
      <w:pPr>
        <w:pStyle w:val="TOC2"/>
        <w:tabs>
          <w:tab w:val="right" w:leader="dot" w:pos="10998"/>
        </w:tabs>
        <w:rPr>
          <w:rFonts w:asciiTheme="minorHAnsi" w:eastAsiaTheme="minorEastAsia" w:hAnsiTheme="minorHAnsi" w:cstheme="minorBidi"/>
          <w:noProof/>
          <w:kern w:val="2"/>
          <w:sz w:val="24"/>
          <w:szCs w:val="24"/>
          <w14:ligatures w14:val="standardContextual"/>
        </w:rPr>
      </w:pPr>
      <w:hyperlink w:anchor="_Toc240012147" w:history="1">
        <w:r w:rsidRPr="0096081B">
          <w:rPr>
            <w:rStyle w:val="Hyperlink"/>
            <w:b/>
            <w:bCs/>
            <w:noProof/>
          </w:rPr>
          <w:t>4.1 What is well established</w:t>
        </w:r>
        <w:r>
          <w:rPr>
            <w:noProof/>
            <w:webHidden/>
          </w:rPr>
          <w:tab/>
        </w:r>
        <w:r>
          <w:rPr>
            <w:noProof/>
            <w:webHidden/>
          </w:rPr>
          <w:fldChar w:fldCharType="begin"/>
        </w:r>
        <w:r>
          <w:rPr>
            <w:noProof/>
            <w:webHidden/>
          </w:rPr>
          <w:instrText xml:space="preserve"> PAGEREF _Toc240012147 \h </w:instrText>
        </w:r>
        <w:r>
          <w:rPr>
            <w:noProof/>
            <w:webHidden/>
          </w:rPr>
        </w:r>
        <w:r>
          <w:rPr>
            <w:noProof/>
            <w:webHidden/>
          </w:rPr>
          <w:fldChar w:fldCharType="separate"/>
        </w:r>
        <w:r>
          <w:rPr>
            <w:noProof/>
            <w:webHidden/>
          </w:rPr>
          <w:t>4</w:t>
        </w:r>
        <w:r>
          <w:rPr>
            <w:noProof/>
            <w:webHidden/>
          </w:rPr>
          <w:fldChar w:fldCharType="end"/>
        </w:r>
      </w:hyperlink>
    </w:p>
    <w:p w14:paraId="24EF08AE" w14:textId="2C923308" w:rsidR="006807E4" w:rsidRDefault="006807E4">
      <w:pPr>
        <w:pStyle w:val="TOC2"/>
        <w:tabs>
          <w:tab w:val="right" w:leader="dot" w:pos="10998"/>
        </w:tabs>
        <w:rPr>
          <w:rFonts w:asciiTheme="minorHAnsi" w:eastAsiaTheme="minorEastAsia" w:hAnsiTheme="minorHAnsi" w:cstheme="minorBidi"/>
          <w:noProof/>
          <w:kern w:val="2"/>
          <w:sz w:val="24"/>
          <w:szCs w:val="24"/>
          <w14:ligatures w14:val="standardContextual"/>
        </w:rPr>
      </w:pPr>
      <w:hyperlink w:anchor="_Toc240012148" w:history="1">
        <w:r w:rsidRPr="0096081B">
          <w:rPr>
            <w:rStyle w:val="Hyperlink"/>
            <w:b/>
            <w:bCs/>
            <w:noProof/>
          </w:rPr>
          <w:t>4.2 What should not be recycled as a "global survey"</w:t>
        </w:r>
        <w:r>
          <w:rPr>
            <w:noProof/>
            <w:webHidden/>
          </w:rPr>
          <w:tab/>
        </w:r>
        <w:r>
          <w:rPr>
            <w:noProof/>
            <w:webHidden/>
          </w:rPr>
          <w:fldChar w:fldCharType="begin"/>
        </w:r>
        <w:r>
          <w:rPr>
            <w:noProof/>
            <w:webHidden/>
          </w:rPr>
          <w:instrText xml:space="preserve"> PAGEREF _Toc240012148 \h </w:instrText>
        </w:r>
        <w:r>
          <w:rPr>
            <w:noProof/>
            <w:webHidden/>
          </w:rPr>
        </w:r>
        <w:r>
          <w:rPr>
            <w:noProof/>
            <w:webHidden/>
          </w:rPr>
          <w:fldChar w:fldCharType="separate"/>
        </w:r>
        <w:r>
          <w:rPr>
            <w:noProof/>
            <w:webHidden/>
          </w:rPr>
          <w:t>4</w:t>
        </w:r>
        <w:r>
          <w:rPr>
            <w:noProof/>
            <w:webHidden/>
          </w:rPr>
          <w:fldChar w:fldCharType="end"/>
        </w:r>
      </w:hyperlink>
    </w:p>
    <w:p w14:paraId="012CC95E" w14:textId="7EBC6C3B" w:rsidR="006807E4" w:rsidRDefault="006807E4">
      <w:pPr>
        <w:pStyle w:val="TOC2"/>
        <w:tabs>
          <w:tab w:val="right" w:leader="dot" w:pos="10998"/>
        </w:tabs>
        <w:rPr>
          <w:rFonts w:asciiTheme="minorHAnsi" w:eastAsiaTheme="minorEastAsia" w:hAnsiTheme="minorHAnsi" w:cstheme="minorBidi"/>
          <w:noProof/>
          <w:kern w:val="2"/>
          <w:sz w:val="24"/>
          <w:szCs w:val="24"/>
          <w14:ligatures w14:val="standardContextual"/>
        </w:rPr>
      </w:pPr>
      <w:hyperlink w:anchor="_Toc240012149" w:history="1">
        <w:r w:rsidRPr="0096081B">
          <w:rPr>
            <w:rStyle w:val="Hyperlink"/>
            <w:b/>
            <w:bCs/>
            <w:noProof/>
          </w:rPr>
          <w:t>4.3 Maintenance and "recertification"</w:t>
        </w:r>
        <w:r>
          <w:rPr>
            <w:noProof/>
            <w:webHidden/>
          </w:rPr>
          <w:tab/>
        </w:r>
        <w:r>
          <w:rPr>
            <w:noProof/>
            <w:webHidden/>
          </w:rPr>
          <w:fldChar w:fldCharType="begin"/>
        </w:r>
        <w:r>
          <w:rPr>
            <w:noProof/>
            <w:webHidden/>
          </w:rPr>
          <w:instrText xml:space="preserve"> PAGEREF _Toc240012149 \h </w:instrText>
        </w:r>
        <w:r>
          <w:rPr>
            <w:noProof/>
            <w:webHidden/>
          </w:rPr>
        </w:r>
        <w:r>
          <w:rPr>
            <w:noProof/>
            <w:webHidden/>
          </w:rPr>
          <w:fldChar w:fldCharType="separate"/>
        </w:r>
        <w:r>
          <w:rPr>
            <w:noProof/>
            <w:webHidden/>
          </w:rPr>
          <w:t>5</w:t>
        </w:r>
        <w:r>
          <w:rPr>
            <w:noProof/>
            <w:webHidden/>
          </w:rPr>
          <w:fldChar w:fldCharType="end"/>
        </w:r>
      </w:hyperlink>
    </w:p>
    <w:p w14:paraId="2E35B992" w14:textId="603576C6" w:rsidR="006807E4" w:rsidRDefault="006807E4">
      <w:pPr>
        <w:pStyle w:val="TOC1"/>
        <w:tabs>
          <w:tab w:val="right" w:leader="dot" w:pos="10998"/>
        </w:tabs>
        <w:rPr>
          <w:rFonts w:asciiTheme="minorHAnsi" w:eastAsiaTheme="minorEastAsia" w:hAnsiTheme="minorHAnsi" w:cstheme="minorBidi"/>
          <w:noProof/>
          <w:kern w:val="2"/>
          <w:sz w:val="24"/>
          <w:szCs w:val="24"/>
          <w14:ligatures w14:val="standardContextual"/>
        </w:rPr>
      </w:pPr>
      <w:hyperlink w:anchor="_Toc240012150" w:history="1">
        <w:r w:rsidRPr="0096081B">
          <w:rPr>
            <w:rStyle w:val="Hyperlink"/>
            <w:b/>
            <w:bCs/>
            <w:noProof/>
          </w:rPr>
          <w:t>5. Laser Cleaning — Risks and the Contact-Lens Question</w:t>
        </w:r>
        <w:r>
          <w:rPr>
            <w:noProof/>
            <w:webHidden/>
          </w:rPr>
          <w:tab/>
        </w:r>
        <w:r>
          <w:rPr>
            <w:noProof/>
            <w:webHidden/>
          </w:rPr>
          <w:fldChar w:fldCharType="begin"/>
        </w:r>
        <w:r>
          <w:rPr>
            <w:noProof/>
            <w:webHidden/>
          </w:rPr>
          <w:instrText xml:space="preserve"> PAGEREF _Toc240012150 \h </w:instrText>
        </w:r>
        <w:r>
          <w:rPr>
            <w:noProof/>
            <w:webHidden/>
          </w:rPr>
        </w:r>
        <w:r>
          <w:rPr>
            <w:noProof/>
            <w:webHidden/>
          </w:rPr>
          <w:fldChar w:fldCharType="separate"/>
        </w:r>
        <w:r>
          <w:rPr>
            <w:noProof/>
            <w:webHidden/>
          </w:rPr>
          <w:t>5</w:t>
        </w:r>
        <w:r>
          <w:rPr>
            <w:noProof/>
            <w:webHidden/>
          </w:rPr>
          <w:fldChar w:fldCharType="end"/>
        </w:r>
      </w:hyperlink>
    </w:p>
    <w:p w14:paraId="5E1CE623" w14:textId="5638A550" w:rsidR="006807E4" w:rsidRDefault="006807E4">
      <w:pPr>
        <w:pStyle w:val="TOC2"/>
        <w:tabs>
          <w:tab w:val="right" w:leader="dot" w:pos="10998"/>
        </w:tabs>
        <w:rPr>
          <w:rFonts w:asciiTheme="minorHAnsi" w:eastAsiaTheme="minorEastAsia" w:hAnsiTheme="minorHAnsi" w:cstheme="minorBidi"/>
          <w:noProof/>
          <w:kern w:val="2"/>
          <w:sz w:val="24"/>
          <w:szCs w:val="24"/>
          <w14:ligatures w14:val="standardContextual"/>
        </w:rPr>
      </w:pPr>
      <w:hyperlink w:anchor="_Toc240012151" w:history="1">
        <w:r w:rsidRPr="0096081B">
          <w:rPr>
            <w:rStyle w:val="Hyperlink"/>
            <w:b/>
            <w:bCs/>
            <w:noProof/>
          </w:rPr>
          <w:t>5.1 Established Class-4 / 1064 nm risks</w:t>
        </w:r>
        <w:r>
          <w:rPr>
            <w:noProof/>
            <w:webHidden/>
          </w:rPr>
          <w:tab/>
        </w:r>
        <w:r>
          <w:rPr>
            <w:noProof/>
            <w:webHidden/>
          </w:rPr>
          <w:fldChar w:fldCharType="begin"/>
        </w:r>
        <w:r>
          <w:rPr>
            <w:noProof/>
            <w:webHidden/>
          </w:rPr>
          <w:instrText xml:space="preserve"> PAGEREF _Toc240012151 \h </w:instrText>
        </w:r>
        <w:r>
          <w:rPr>
            <w:noProof/>
            <w:webHidden/>
          </w:rPr>
        </w:r>
        <w:r>
          <w:rPr>
            <w:noProof/>
            <w:webHidden/>
          </w:rPr>
          <w:fldChar w:fldCharType="separate"/>
        </w:r>
        <w:r>
          <w:rPr>
            <w:noProof/>
            <w:webHidden/>
          </w:rPr>
          <w:t>5</w:t>
        </w:r>
        <w:r>
          <w:rPr>
            <w:noProof/>
            <w:webHidden/>
          </w:rPr>
          <w:fldChar w:fldCharType="end"/>
        </w:r>
      </w:hyperlink>
    </w:p>
    <w:p w14:paraId="15B5B8BA" w14:textId="4596944F" w:rsidR="006807E4" w:rsidRDefault="006807E4">
      <w:pPr>
        <w:pStyle w:val="TOC2"/>
        <w:tabs>
          <w:tab w:val="right" w:leader="dot" w:pos="10998"/>
        </w:tabs>
        <w:rPr>
          <w:rFonts w:asciiTheme="minorHAnsi" w:eastAsiaTheme="minorEastAsia" w:hAnsiTheme="minorHAnsi" w:cstheme="minorBidi"/>
          <w:noProof/>
          <w:kern w:val="2"/>
          <w:sz w:val="24"/>
          <w:szCs w:val="24"/>
          <w14:ligatures w14:val="standardContextual"/>
        </w:rPr>
      </w:pPr>
      <w:hyperlink w:anchor="_Toc240012152" w:history="1">
        <w:r w:rsidRPr="0096081B">
          <w:rPr>
            <w:rStyle w:val="Hyperlink"/>
            <w:b/>
            <w:bCs/>
            <w:noProof/>
          </w:rPr>
          <w:t>5.2 Contact lenses — not an advantage, a theoretical added risk</w:t>
        </w:r>
        <w:r>
          <w:rPr>
            <w:noProof/>
            <w:webHidden/>
          </w:rPr>
          <w:tab/>
        </w:r>
        <w:r>
          <w:rPr>
            <w:noProof/>
            <w:webHidden/>
          </w:rPr>
          <w:fldChar w:fldCharType="begin"/>
        </w:r>
        <w:r>
          <w:rPr>
            <w:noProof/>
            <w:webHidden/>
          </w:rPr>
          <w:instrText xml:space="preserve"> PAGEREF _Toc240012152 \h </w:instrText>
        </w:r>
        <w:r>
          <w:rPr>
            <w:noProof/>
            <w:webHidden/>
          </w:rPr>
        </w:r>
        <w:r>
          <w:rPr>
            <w:noProof/>
            <w:webHidden/>
          </w:rPr>
          <w:fldChar w:fldCharType="separate"/>
        </w:r>
        <w:r>
          <w:rPr>
            <w:noProof/>
            <w:webHidden/>
          </w:rPr>
          <w:t>5</w:t>
        </w:r>
        <w:r>
          <w:rPr>
            <w:noProof/>
            <w:webHidden/>
          </w:rPr>
          <w:fldChar w:fldCharType="end"/>
        </w:r>
      </w:hyperlink>
    </w:p>
    <w:p w14:paraId="777C77EE" w14:textId="58D15721" w:rsidR="006807E4" w:rsidRDefault="006807E4">
      <w:pPr>
        <w:pStyle w:val="TOC1"/>
        <w:tabs>
          <w:tab w:val="right" w:leader="dot" w:pos="10998"/>
        </w:tabs>
        <w:rPr>
          <w:rFonts w:asciiTheme="minorHAnsi" w:eastAsiaTheme="minorEastAsia" w:hAnsiTheme="minorHAnsi" w:cstheme="minorBidi"/>
          <w:noProof/>
          <w:kern w:val="2"/>
          <w:sz w:val="24"/>
          <w:szCs w:val="24"/>
          <w14:ligatures w14:val="standardContextual"/>
        </w:rPr>
      </w:pPr>
      <w:hyperlink w:anchor="_Toc240012153" w:history="1">
        <w:r w:rsidRPr="0096081B">
          <w:rPr>
            <w:rStyle w:val="Hyperlink"/>
            <w:b/>
            <w:bCs/>
            <w:noProof/>
          </w:rPr>
          <w:t>6. The Business Case — Utilization Intensity as the Primary Value Driver</w:t>
        </w:r>
        <w:r>
          <w:rPr>
            <w:noProof/>
            <w:webHidden/>
          </w:rPr>
          <w:tab/>
        </w:r>
        <w:r>
          <w:rPr>
            <w:noProof/>
            <w:webHidden/>
          </w:rPr>
          <w:fldChar w:fldCharType="begin"/>
        </w:r>
        <w:r>
          <w:rPr>
            <w:noProof/>
            <w:webHidden/>
          </w:rPr>
          <w:instrText xml:space="preserve"> PAGEREF _Toc240012153 \h </w:instrText>
        </w:r>
        <w:r>
          <w:rPr>
            <w:noProof/>
            <w:webHidden/>
          </w:rPr>
        </w:r>
        <w:r>
          <w:rPr>
            <w:noProof/>
            <w:webHidden/>
          </w:rPr>
          <w:fldChar w:fldCharType="separate"/>
        </w:r>
        <w:r>
          <w:rPr>
            <w:noProof/>
            <w:webHidden/>
          </w:rPr>
          <w:t>5</w:t>
        </w:r>
        <w:r>
          <w:rPr>
            <w:noProof/>
            <w:webHidden/>
          </w:rPr>
          <w:fldChar w:fldCharType="end"/>
        </w:r>
      </w:hyperlink>
    </w:p>
    <w:p w14:paraId="7D11E6C9" w14:textId="4A04062B" w:rsidR="006807E4" w:rsidRDefault="006807E4">
      <w:pPr>
        <w:pStyle w:val="TOC2"/>
        <w:tabs>
          <w:tab w:val="right" w:leader="dot" w:pos="10998"/>
        </w:tabs>
        <w:rPr>
          <w:rFonts w:asciiTheme="minorHAnsi" w:eastAsiaTheme="minorEastAsia" w:hAnsiTheme="minorHAnsi" w:cstheme="minorBidi"/>
          <w:noProof/>
          <w:kern w:val="2"/>
          <w:sz w:val="24"/>
          <w:szCs w:val="24"/>
          <w14:ligatures w14:val="standardContextual"/>
        </w:rPr>
      </w:pPr>
      <w:hyperlink w:anchor="_Toc240012154" w:history="1">
        <w:r w:rsidRPr="0096081B">
          <w:rPr>
            <w:rStyle w:val="Hyperlink"/>
            <w:b/>
            <w:bCs/>
            <w:noProof/>
          </w:rPr>
          <w:t>6.1 Five-year comparative framework</w:t>
        </w:r>
        <w:r>
          <w:rPr>
            <w:noProof/>
            <w:webHidden/>
          </w:rPr>
          <w:tab/>
        </w:r>
        <w:r>
          <w:rPr>
            <w:noProof/>
            <w:webHidden/>
          </w:rPr>
          <w:fldChar w:fldCharType="begin"/>
        </w:r>
        <w:r>
          <w:rPr>
            <w:noProof/>
            <w:webHidden/>
          </w:rPr>
          <w:instrText xml:space="preserve"> PAGEREF _Toc240012154 \h </w:instrText>
        </w:r>
        <w:r>
          <w:rPr>
            <w:noProof/>
            <w:webHidden/>
          </w:rPr>
        </w:r>
        <w:r>
          <w:rPr>
            <w:noProof/>
            <w:webHidden/>
          </w:rPr>
          <w:fldChar w:fldCharType="separate"/>
        </w:r>
        <w:r>
          <w:rPr>
            <w:noProof/>
            <w:webHidden/>
          </w:rPr>
          <w:t>5</w:t>
        </w:r>
        <w:r>
          <w:rPr>
            <w:noProof/>
            <w:webHidden/>
          </w:rPr>
          <w:fldChar w:fldCharType="end"/>
        </w:r>
      </w:hyperlink>
    </w:p>
    <w:p w14:paraId="32CF9A7E" w14:textId="5BC2CD98" w:rsidR="006807E4" w:rsidRDefault="006807E4">
      <w:pPr>
        <w:pStyle w:val="TOC2"/>
        <w:tabs>
          <w:tab w:val="right" w:leader="dot" w:pos="10998"/>
        </w:tabs>
        <w:rPr>
          <w:rFonts w:asciiTheme="minorHAnsi" w:eastAsiaTheme="minorEastAsia" w:hAnsiTheme="minorHAnsi" w:cstheme="minorBidi"/>
          <w:noProof/>
          <w:kern w:val="2"/>
          <w:sz w:val="24"/>
          <w:szCs w:val="24"/>
          <w14:ligatures w14:val="standardContextual"/>
        </w:rPr>
      </w:pPr>
      <w:hyperlink w:anchor="_Toc240012155" w:history="1">
        <w:r w:rsidRPr="0096081B">
          <w:rPr>
            <w:rStyle w:val="Hyperlink"/>
            <w:b/>
            <w:bCs/>
            <w:noProof/>
          </w:rPr>
          <w:t>6.2 Why continuity of use determines ROI</w:t>
        </w:r>
        <w:r>
          <w:rPr>
            <w:noProof/>
            <w:webHidden/>
          </w:rPr>
          <w:tab/>
        </w:r>
        <w:r>
          <w:rPr>
            <w:noProof/>
            <w:webHidden/>
          </w:rPr>
          <w:fldChar w:fldCharType="begin"/>
        </w:r>
        <w:r>
          <w:rPr>
            <w:noProof/>
            <w:webHidden/>
          </w:rPr>
          <w:instrText xml:space="preserve"> PAGEREF _Toc240012155 \h </w:instrText>
        </w:r>
        <w:r>
          <w:rPr>
            <w:noProof/>
            <w:webHidden/>
          </w:rPr>
        </w:r>
        <w:r>
          <w:rPr>
            <w:noProof/>
            <w:webHidden/>
          </w:rPr>
          <w:fldChar w:fldCharType="separate"/>
        </w:r>
        <w:r>
          <w:rPr>
            <w:noProof/>
            <w:webHidden/>
          </w:rPr>
          <w:t>6</w:t>
        </w:r>
        <w:r>
          <w:rPr>
            <w:noProof/>
            <w:webHidden/>
          </w:rPr>
          <w:fldChar w:fldCharType="end"/>
        </w:r>
      </w:hyperlink>
    </w:p>
    <w:p w14:paraId="616695C9" w14:textId="11048532" w:rsidR="006807E4" w:rsidRDefault="006807E4">
      <w:pPr>
        <w:pStyle w:val="TOC2"/>
        <w:tabs>
          <w:tab w:val="right" w:leader="dot" w:pos="10998"/>
        </w:tabs>
        <w:rPr>
          <w:rFonts w:asciiTheme="minorHAnsi" w:eastAsiaTheme="minorEastAsia" w:hAnsiTheme="minorHAnsi" w:cstheme="minorBidi"/>
          <w:noProof/>
          <w:kern w:val="2"/>
          <w:sz w:val="24"/>
          <w:szCs w:val="24"/>
          <w14:ligatures w14:val="standardContextual"/>
        </w:rPr>
      </w:pPr>
      <w:hyperlink w:anchor="_Toc240012156" w:history="1">
        <w:r w:rsidRPr="0096081B">
          <w:rPr>
            <w:rStyle w:val="Hyperlink"/>
            <w:b/>
            <w:bCs/>
            <w:noProof/>
          </w:rPr>
          <w:t>6.3 Scenario logic — low vs. high utilization</w:t>
        </w:r>
        <w:r>
          <w:rPr>
            <w:noProof/>
            <w:webHidden/>
          </w:rPr>
          <w:tab/>
        </w:r>
        <w:r>
          <w:rPr>
            <w:noProof/>
            <w:webHidden/>
          </w:rPr>
          <w:fldChar w:fldCharType="begin"/>
        </w:r>
        <w:r>
          <w:rPr>
            <w:noProof/>
            <w:webHidden/>
          </w:rPr>
          <w:instrText xml:space="preserve"> PAGEREF _Toc240012156 \h </w:instrText>
        </w:r>
        <w:r>
          <w:rPr>
            <w:noProof/>
            <w:webHidden/>
          </w:rPr>
        </w:r>
        <w:r>
          <w:rPr>
            <w:noProof/>
            <w:webHidden/>
          </w:rPr>
          <w:fldChar w:fldCharType="separate"/>
        </w:r>
        <w:r>
          <w:rPr>
            <w:noProof/>
            <w:webHidden/>
          </w:rPr>
          <w:t>6</w:t>
        </w:r>
        <w:r>
          <w:rPr>
            <w:noProof/>
            <w:webHidden/>
          </w:rPr>
          <w:fldChar w:fldCharType="end"/>
        </w:r>
      </w:hyperlink>
    </w:p>
    <w:p w14:paraId="378D1AD5" w14:textId="5CCF72A6" w:rsidR="006807E4" w:rsidRDefault="006807E4">
      <w:pPr>
        <w:pStyle w:val="TOC1"/>
        <w:tabs>
          <w:tab w:val="right" w:leader="dot" w:pos="10998"/>
        </w:tabs>
        <w:rPr>
          <w:rFonts w:asciiTheme="minorHAnsi" w:eastAsiaTheme="minorEastAsia" w:hAnsiTheme="minorHAnsi" w:cstheme="minorBidi"/>
          <w:noProof/>
          <w:kern w:val="2"/>
          <w:sz w:val="24"/>
          <w:szCs w:val="24"/>
          <w14:ligatures w14:val="standardContextual"/>
        </w:rPr>
      </w:pPr>
      <w:hyperlink w:anchor="_Toc240012157" w:history="1">
        <w:r w:rsidRPr="0096081B">
          <w:rPr>
            <w:rStyle w:val="Hyperlink"/>
            <w:b/>
            <w:bCs/>
            <w:noProof/>
          </w:rPr>
          <w:t>7. Alternative Methods Considered</w:t>
        </w:r>
        <w:r>
          <w:rPr>
            <w:noProof/>
            <w:webHidden/>
          </w:rPr>
          <w:tab/>
        </w:r>
        <w:r>
          <w:rPr>
            <w:noProof/>
            <w:webHidden/>
          </w:rPr>
          <w:fldChar w:fldCharType="begin"/>
        </w:r>
        <w:r>
          <w:rPr>
            <w:noProof/>
            <w:webHidden/>
          </w:rPr>
          <w:instrText xml:space="preserve"> PAGEREF _Toc240012157 \h </w:instrText>
        </w:r>
        <w:r>
          <w:rPr>
            <w:noProof/>
            <w:webHidden/>
          </w:rPr>
        </w:r>
        <w:r>
          <w:rPr>
            <w:noProof/>
            <w:webHidden/>
          </w:rPr>
          <w:fldChar w:fldCharType="separate"/>
        </w:r>
        <w:r>
          <w:rPr>
            <w:noProof/>
            <w:webHidden/>
          </w:rPr>
          <w:t>6</w:t>
        </w:r>
        <w:r>
          <w:rPr>
            <w:noProof/>
            <w:webHidden/>
          </w:rPr>
          <w:fldChar w:fldCharType="end"/>
        </w:r>
      </w:hyperlink>
    </w:p>
    <w:p w14:paraId="3B4B3CEA" w14:textId="2602EA64" w:rsidR="006807E4" w:rsidRDefault="006807E4">
      <w:pPr>
        <w:pStyle w:val="TOC1"/>
        <w:tabs>
          <w:tab w:val="right" w:leader="dot" w:pos="10998"/>
        </w:tabs>
        <w:rPr>
          <w:rFonts w:asciiTheme="minorHAnsi" w:eastAsiaTheme="minorEastAsia" w:hAnsiTheme="minorHAnsi" w:cstheme="minorBidi"/>
          <w:noProof/>
          <w:kern w:val="2"/>
          <w:sz w:val="24"/>
          <w:szCs w:val="24"/>
          <w14:ligatures w14:val="standardContextual"/>
        </w:rPr>
      </w:pPr>
      <w:hyperlink w:anchor="_Toc240012158" w:history="1">
        <w:r w:rsidRPr="0096081B">
          <w:rPr>
            <w:rStyle w:val="Hyperlink"/>
            <w:b/>
            <w:bCs/>
            <w:noProof/>
          </w:rPr>
          <w:t>8. Recommended Validation / Pilot Plan</w:t>
        </w:r>
        <w:r>
          <w:rPr>
            <w:noProof/>
            <w:webHidden/>
          </w:rPr>
          <w:tab/>
        </w:r>
        <w:r>
          <w:rPr>
            <w:noProof/>
            <w:webHidden/>
          </w:rPr>
          <w:fldChar w:fldCharType="begin"/>
        </w:r>
        <w:r>
          <w:rPr>
            <w:noProof/>
            <w:webHidden/>
          </w:rPr>
          <w:instrText xml:space="preserve"> PAGEREF _Toc240012158 \h </w:instrText>
        </w:r>
        <w:r>
          <w:rPr>
            <w:noProof/>
            <w:webHidden/>
          </w:rPr>
        </w:r>
        <w:r>
          <w:rPr>
            <w:noProof/>
            <w:webHidden/>
          </w:rPr>
          <w:fldChar w:fldCharType="separate"/>
        </w:r>
        <w:r>
          <w:rPr>
            <w:noProof/>
            <w:webHidden/>
          </w:rPr>
          <w:t>7</w:t>
        </w:r>
        <w:r>
          <w:rPr>
            <w:noProof/>
            <w:webHidden/>
          </w:rPr>
          <w:fldChar w:fldCharType="end"/>
        </w:r>
      </w:hyperlink>
    </w:p>
    <w:p w14:paraId="506CA730" w14:textId="279022DE" w:rsidR="006807E4" w:rsidRDefault="006807E4">
      <w:pPr>
        <w:pStyle w:val="TOC1"/>
        <w:tabs>
          <w:tab w:val="right" w:leader="dot" w:pos="10998"/>
        </w:tabs>
        <w:rPr>
          <w:rFonts w:asciiTheme="minorHAnsi" w:eastAsiaTheme="minorEastAsia" w:hAnsiTheme="minorHAnsi" w:cstheme="minorBidi"/>
          <w:noProof/>
          <w:kern w:val="2"/>
          <w:sz w:val="24"/>
          <w:szCs w:val="24"/>
          <w14:ligatures w14:val="standardContextual"/>
        </w:rPr>
      </w:pPr>
      <w:hyperlink w:anchor="_Toc240012159" w:history="1">
        <w:r w:rsidRPr="0096081B">
          <w:rPr>
            <w:rStyle w:val="Hyperlink"/>
            <w:b/>
            <w:bCs/>
            <w:noProof/>
          </w:rPr>
          <w:t>9. Key Messages for Publication</w:t>
        </w:r>
        <w:r>
          <w:rPr>
            <w:noProof/>
            <w:webHidden/>
          </w:rPr>
          <w:tab/>
        </w:r>
        <w:r>
          <w:rPr>
            <w:noProof/>
            <w:webHidden/>
          </w:rPr>
          <w:fldChar w:fldCharType="begin"/>
        </w:r>
        <w:r>
          <w:rPr>
            <w:noProof/>
            <w:webHidden/>
          </w:rPr>
          <w:instrText xml:space="preserve"> PAGEREF _Toc240012159 \h </w:instrText>
        </w:r>
        <w:r>
          <w:rPr>
            <w:noProof/>
            <w:webHidden/>
          </w:rPr>
        </w:r>
        <w:r>
          <w:rPr>
            <w:noProof/>
            <w:webHidden/>
          </w:rPr>
          <w:fldChar w:fldCharType="separate"/>
        </w:r>
        <w:r>
          <w:rPr>
            <w:noProof/>
            <w:webHidden/>
          </w:rPr>
          <w:t>7</w:t>
        </w:r>
        <w:r>
          <w:rPr>
            <w:noProof/>
            <w:webHidden/>
          </w:rPr>
          <w:fldChar w:fldCharType="end"/>
        </w:r>
      </w:hyperlink>
    </w:p>
    <w:p w14:paraId="7356AF88" w14:textId="29CA2E65" w:rsidR="006807E4" w:rsidRDefault="006807E4">
      <w:pPr>
        <w:pStyle w:val="TOC1"/>
        <w:tabs>
          <w:tab w:val="right" w:leader="dot" w:pos="10998"/>
        </w:tabs>
        <w:rPr>
          <w:rFonts w:asciiTheme="minorHAnsi" w:eastAsiaTheme="minorEastAsia" w:hAnsiTheme="minorHAnsi" w:cstheme="minorBidi"/>
          <w:noProof/>
          <w:kern w:val="2"/>
          <w:sz w:val="24"/>
          <w:szCs w:val="24"/>
          <w14:ligatures w14:val="standardContextual"/>
        </w:rPr>
      </w:pPr>
      <w:hyperlink w:anchor="_Toc240012160" w:history="1">
        <w:r w:rsidRPr="0096081B">
          <w:rPr>
            <w:rStyle w:val="Hyperlink"/>
            <w:b/>
            <w:bCs/>
            <w:noProof/>
          </w:rPr>
          <w:t>10. Definitions of Acronyms</w:t>
        </w:r>
        <w:r>
          <w:rPr>
            <w:noProof/>
            <w:webHidden/>
          </w:rPr>
          <w:tab/>
        </w:r>
        <w:r>
          <w:rPr>
            <w:noProof/>
            <w:webHidden/>
          </w:rPr>
          <w:fldChar w:fldCharType="begin"/>
        </w:r>
        <w:r>
          <w:rPr>
            <w:noProof/>
            <w:webHidden/>
          </w:rPr>
          <w:instrText xml:space="preserve"> PAGEREF _Toc240012160 \h </w:instrText>
        </w:r>
        <w:r>
          <w:rPr>
            <w:noProof/>
            <w:webHidden/>
          </w:rPr>
        </w:r>
        <w:r>
          <w:rPr>
            <w:noProof/>
            <w:webHidden/>
          </w:rPr>
          <w:fldChar w:fldCharType="separate"/>
        </w:r>
        <w:r>
          <w:rPr>
            <w:noProof/>
            <w:webHidden/>
          </w:rPr>
          <w:t>8</w:t>
        </w:r>
        <w:r>
          <w:rPr>
            <w:noProof/>
            <w:webHidden/>
          </w:rPr>
          <w:fldChar w:fldCharType="end"/>
        </w:r>
      </w:hyperlink>
    </w:p>
    <w:p w14:paraId="5F98DF1A" w14:textId="7FCFAF70" w:rsidR="006807E4" w:rsidRDefault="006807E4">
      <w:pPr>
        <w:pStyle w:val="TOC1"/>
        <w:tabs>
          <w:tab w:val="right" w:leader="dot" w:pos="10998"/>
        </w:tabs>
        <w:rPr>
          <w:rFonts w:asciiTheme="minorHAnsi" w:eastAsiaTheme="minorEastAsia" w:hAnsiTheme="minorHAnsi" w:cstheme="minorBidi"/>
          <w:noProof/>
          <w:kern w:val="2"/>
          <w:sz w:val="24"/>
          <w:szCs w:val="24"/>
          <w14:ligatures w14:val="standardContextual"/>
        </w:rPr>
      </w:pPr>
      <w:hyperlink w:anchor="_Toc240012161" w:history="1">
        <w:r w:rsidRPr="0096081B">
          <w:rPr>
            <w:rStyle w:val="Hyperlink"/>
            <w:b/>
            <w:bCs/>
            <w:noProof/>
          </w:rPr>
          <w:t>11. References</w:t>
        </w:r>
        <w:r>
          <w:rPr>
            <w:noProof/>
            <w:webHidden/>
          </w:rPr>
          <w:tab/>
        </w:r>
        <w:r>
          <w:rPr>
            <w:noProof/>
            <w:webHidden/>
          </w:rPr>
          <w:fldChar w:fldCharType="begin"/>
        </w:r>
        <w:r>
          <w:rPr>
            <w:noProof/>
            <w:webHidden/>
          </w:rPr>
          <w:instrText xml:space="preserve"> PAGEREF _Toc240012161 \h </w:instrText>
        </w:r>
        <w:r>
          <w:rPr>
            <w:noProof/>
            <w:webHidden/>
          </w:rPr>
        </w:r>
        <w:r>
          <w:rPr>
            <w:noProof/>
            <w:webHidden/>
          </w:rPr>
          <w:fldChar w:fldCharType="separate"/>
        </w:r>
        <w:r>
          <w:rPr>
            <w:noProof/>
            <w:webHidden/>
          </w:rPr>
          <w:t>9</w:t>
        </w:r>
        <w:r>
          <w:rPr>
            <w:noProof/>
            <w:webHidden/>
          </w:rPr>
          <w:fldChar w:fldCharType="end"/>
        </w:r>
      </w:hyperlink>
    </w:p>
    <w:p w14:paraId="06B3DB77" w14:textId="21587B8A" w:rsidR="006807E4" w:rsidRDefault="006807E4">
      <w:pPr>
        <w:pStyle w:val="TOC1"/>
        <w:tabs>
          <w:tab w:val="right" w:leader="dot" w:pos="10998"/>
        </w:tabs>
        <w:rPr>
          <w:rFonts w:asciiTheme="minorHAnsi" w:eastAsiaTheme="minorEastAsia" w:hAnsiTheme="minorHAnsi" w:cstheme="minorBidi"/>
          <w:noProof/>
          <w:kern w:val="2"/>
          <w:sz w:val="24"/>
          <w:szCs w:val="24"/>
          <w14:ligatures w14:val="standardContextual"/>
        </w:rPr>
      </w:pPr>
      <w:hyperlink w:anchor="_Toc240012162" w:history="1">
        <w:r w:rsidRPr="0096081B">
          <w:rPr>
            <w:rStyle w:val="Hyperlink"/>
            <w:b/>
            <w:bCs/>
            <w:noProof/>
          </w:rPr>
          <w:t>12. Limitations of This Document</w:t>
        </w:r>
        <w:r>
          <w:rPr>
            <w:noProof/>
            <w:webHidden/>
          </w:rPr>
          <w:tab/>
        </w:r>
        <w:r>
          <w:rPr>
            <w:noProof/>
            <w:webHidden/>
          </w:rPr>
          <w:fldChar w:fldCharType="begin"/>
        </w:r>
        <w:r>
          <w:rPr>
            <w:noProof/>
            <w:webHidden/>
          </w:rPr>
          <w:instrText xml:space="preserve"> PAGEREF _Toc240012162 \h </w:instrText>
        </w:r>
        <w:r>
          <w:rPr>
            <w:noProof/>
            <w:webHidden/>
          </w:rPr>
        </w:r>
        <w:r>
          <w:rPr>
            <w:noProof/>
            <w:webHidden/>
          </w:rPr>
          <w:fldChar w:fldCharType="separate"/>
        </w:r>
        <w:r>
          <w:rPr>
            <w:noProof/>
            <w:webHidden/>
          </w:rPr>
          <w:t>9</w:t>
        </w:r>
        <w:r>
          <w:rPr>
            <w:noProof/>
            <w:webHidden/>
          </w:rPr>
          <w:fldChar w:fldCharType="end"/>
        </w:r>
      </w:hyperlink>
    </w:p>
    <w:p w14:paraId="3CF710BD" w14:textId="35D46A17" w:rsidR="006807E4" w:rsidRDefault="006807E4">
      <w:pPr>
        <w:pStyle w:val="TOC1"/>
        <w:tabs>
          <w:tab w:val="right" w:leader="dot" w:pos="10998"/>
        </w:tabs>
        <w:rPr>
          <w:rFonts w:asciiTheme="minorHAnsi" w:eastAsiaTheme="minorEastAsia" w:hAnsiTheme="minorHAnsi" w:cstheme="minorBidi"/>
          <w:noProof/>
          <w:kern w:val="2"/>
          <w:sz w:val="24"/>
          <w:szCs w:val="24"/>
          <w14:ligatures w14:val="standardContextual"/>
        </w:rPr>
      </w:pPr>
      <w:hyperlink w:anchor="_Toc240012163" w:history="1">
        <w:r w:rsidRPr="0096081B">
          <w:rPr>
            <w:rStyle w:val="Hyperlink"/>
            <w:b/>
            <w:bCs/>
            <w:noProof/>
          </w:rPr>
          <w:t>Index</w:t>
        </w:r>
        <w:r>
          <w:rPr>
            <w:noProof/>
            <w:webHidden/>
          </w:rPr>
          <w:tab/>
        </w:r>
        <w:r>
          <w:rPr>
            <w:noProof/>
            <w:webHidden/>
          </w:rPr>
          <w:fldChar w:fldCharType="begin"/>
        </w:r>
        <w:r>
          <w:rPr>
            <w:noProof/>
            <w:webHidden/>
          </w:rPr>
          <w:instrText xml:space="preserve"> PAGEREF _Toc240012163 \h </w:instrText>
        </w:r>
        <w:r>
          <w:rPr>
            <w:noProof/>
            <w:webHidden/>
          </w:rPr>
        </w:r>
        <w:r>
          <w:rPr>
            <w:noProof/>
            <w:webHidden/>
          </w:rPr>
          <w:fldChar w:fldCharType="separate"/>
        </w:r>
        <w:r>
          <w:rPr>
            <w:noProof/>
            <w:webHidden/>
          </w:rPr>
          <w:t>10</w:t>
        </w:r>
        <w:r>
          <w:rPr>
            <w:noProof/>
            <w:webHidden/>
          </w:rPr>
          <w:fldChar w:fldCharType="end"/>
        </w:r>
      </w:hyperlink>
    </w:p>
    <w:p w14:paraId="1BC1A87D" w14:textId="6D49F873" w:rsidR="00386890" w:rsidRDefault="006807E4" w:rsidP="006807E4">
      <w:pPr>
        <w:tabs>
          <w:tab w:val="right" w:leader="dot" w:pos="9026"/>
        </w:tabs>
        <w:spacing w:after="120"/>
      </w:pPr>
      <w:r>
        <w:fldChar w:fldCharType="end"/>
      </w:r>
    </w:p>
    <w:sectPr w:rsidR="00386890">
      <w:headerReference w:type="default" r:id="rId7"/>
      <w:footerReference w:type="default" r:id="rId8"/>
      <w:pgSz w:w="11906" w:h="16838"/>
      <w:pgMar w:top="449" w:right="449" w:bottom="449" w:left="449"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0CEBC9" w14:textId="77777777" w:rsidR="001F7CBC" w:rsidRDefault="001F7CBC">
      <w:r>
        <w:separator/>
      </w:r>
    </w:p>
  </w:endnote>
  <w:endnote w:type="continuationSeparator" w:id="0">
    <w:p w14:paraId="3C654BC4" w14:textId="77777777" w:rsidR="001F7CBC" w:rsidRDefault="001F7C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E76AD2" w14:textId="67405FAE" w:rsidR="00386890" w:rsidRDefault="00000000">
    <w:pPr>
      <w:jc w:val="center"/>
    </w:pPr>
    <w:r>
      <w:rPr>
        <w:sz w:val="17"/>
        <w:szCs w:val="17"/>
      </w:rPr>
      <w:t xml:space="preserve">page </w:t>
    </w:r>
    <w:r>
      <w:rPr>
        <w:sz w:val="17"/>
        <w:szCs w:val="17"/>
      </w:rPr>
      <w:fldChar w:fldCharType="begin"/>
    </w:r>
    <w:r>
      <w:rPr>
        <w:sz w:val="17"/>
        <w:szCs w:val="17"/>
      </w:rPr>
      <w:instrText>PAGE</w:instrText>
    </w:r>
    <w:r>
      <w:rPr>
        <w:sz w:val="17"/>
        <w:szCs w:val="17"/>
      </w:rPr>
      <w:fldChar w:fldCharType="separate"/>
    </w:r>
    <w:r w:rsidR="006807E4">
      <w:rPr>
        <w:noProof/>
        <w:sz w:val="17"/>
        <w:szCs w:val="17"/>
      </w:rPr>
      <w:t>3</w:t>
    </w:r>
    <w:r>
      <w:rPr>
        <w:sz w:val="17"/>
        <w:szCs w:val="17"/>
      </w:rPr>
      <w:fldChar w:fldCharType="end"/>
    </w:r>
    <w:r>
      <w:rPr>
        <w:sz w:val="17"/>
        <w:szCs w:val="17"/>
      </w:rPr>
      <w:t xml:space="preserve"> / </w:t>
    </w:r>
    <w:r>
      <w:rPr>
        <w:sz w:val="17"/>
        <w:szCs w:val="17"/>
      </w:rPr>
      <w:fldChar w:fldCharType="begin"/>
    </w:r>
    <w:r>
      <w:rPr>
        <w:sz w:val="17"/>
        <w:szCs w:val="17"/>
      </w:rPr>
      <w:instrText>NUMPAGES</w:instrText>
    </w:r>
    <w:r>
      <w:rPr>
        <w:sz w:val="17"/>
        <w:szCs w:val="17"/>
      </w:rPr>
      <w:fldChar w:fldCharType="separate"/>
    </w:r>
    <w:r w:rsidR="006807E4">
      <w:rPr>
        <w:noProof/>
        <w:sz w:val="17"/>
        <w:szCs w:val="17"/>
      </w:rPr>
      <w:t>4</w:t>
    </w:r>
    <w:r>
      <w:rPr>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8AEB2D" w14:textId="77777777" w:rsidR="001F7CBC" w:rsidRDefault="001F7CBC">
      <w:r>
        <w:separator/>
      </w:r>
    </w:p>
  </w:footnote>
  <w:footnote w:type="continuationSeparator" w:id="0">
    <w:p w14:paraId="6C5AD9EE" w14:textId="77777777" w:rsidR="001F7CBC" w:rsidRDefault="001F7C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EFA0F4" w14:textId="77777777" w:rsidR="00386890" w:rsidRDefault="00000000">
    <w:pPr>
      <w:jc w:val="center"/>
    </w:pPr>
    <w:r>
      <w:rPr>
        <w:i/>
        <w:iCs/>
        <w:sz w:val="17"/>
        <w:szCs w:val="17"/>
      </w:rPr>
      <w:t>Continuous Laser Cleaning — Business Case · François Dorléans · MEMO-EE-HSE-LASER-DISC-2026-01 — Rev. 05-C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8047AD4"/>
    <w:multiLevelType w:val="hybridMultilevel"/>
    <w:tmpl w:val="CDFCFB0E"/>
    <w:lvl w:ilvl="0" w:tplc="E0B05760">
      <w:start w:val="1"/>
      <w:numFmt w:val="bullet"/>
      <w:lvlText w:val="●"/>
      <w:lvlJc w:val="left"/>
      <w:pPr>
        <w:ind w:left="720" w:hanging="360"/>
      </w:pPr>
    </w:lvl>
    <w:lvl w:ilvl="1" w:tplc="567095F2">
      <w:start w:val="1"/>
      <w:numFmt w:val="bullet"/>
      <w:lvlText w:val="○"/>
      <w:lvlJc w:val="left"/>
      <w:pPr>
        <w:ind w:left="1440" w:hanging="360"/>
      </w:pPr>
    </w:lvl>
    <w:lvl w:ilvl="2" w:tplc="FA4821C0">
      <w:start w:val="1"/>
      <w:numFmt w:val="bullet"/>
      <w:lvlText w:val="■"/>
      <w:lvlJc w:val="left"/>
      <w:pPr>
        <w:ind w:left="2160" w:hanging="360"/>
      </w:pPr>
    </w:lvl>
    <w:lvl w:ilvl="3" w:tplc="3548714A">
      <w:start w:val="1"/>
      <w:numFmt w:val="bullet"/>
      <w:lvlText w:val="●"/>
      <w:lvlJc w:val="left"/>
      <w:pPr>
        <w:ind w:left="2880" w:hanging="360"/>
      </w:pPr>
    </w:lvl>
    <w:lvl w:ilvl="4" w:tplc="7D2A12CE">
      <w:start w:val="1"/>
      <w:numFmt w:val="bullet"/>
      <w:lvlText w:val="○"/>
      <w:lvlJc w:val="left"/>
      <w:pPr>
        <w:ind w:left="3600" w:hanging="360"/>
      </w:pPr>
    </w:lvl>
    <w:lvl w:ilvl="5" w:tplc="DC009FA2">
      <w:start w:val="1"/>
      <w:numFmt w:val="bullet"/>
      <w:lvlText w:val="■"/>
      <w:lvlJc w:val="left"/>
      <w:pPr>
        <w:ind w:left="4320" w:hanging="360"/>
      </w:pPr>
    </w:lvl>
    <w:lvl w:ilvl="6" w:tplc="AC14256A">
      <w:start w:val="1"/>
      <w:numFmt w:val="bullet"/>
      <w:lvlText w:val="●"/>
      <w:lvlJc w:val="left"/>
      <w:pPr>
        <w:ind w:left="5040" w:hanging="360"/>
      </w:pPr>
    </w:lvl>
    <w:lvl w:ilvl="7" w:tplc="D490374E">
      <w:start w:val="1"/>
      <w:numFmt w:val="bullet"/>
      <w:lvlText w:val="●"/>
      <w:lvlJc w:val="left"/>
      <w:pPr>
        <w:ind w:left="5760" w:hanging="360"/>
      </w:pPr>
    </w:lvl>
    <w:lvl w:ilvl="8" w:tplc="0BF4F156">
      <w:start w:val="1"/>
      <w:numFmt w:val="bullet"/>
      <w:lvlText w:val="●"/>
      <w:lvlJc w:val="left"/>
      <w:pPr>
        <w:ind w:left="6480" w:hanging="360"/>
      </w:pPr>
    </w:lvl>
  </w:abstractNum>
  <w:num w:numId="1" w16cid:durableId="727074251">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890"/>
    <w:rsid w:val="001F7CBC"/>
    <w:rsid w:val="00386890"/>
    <w:rsid w:val="003D3804"/>
    <w:rsid w:val="006807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A7C3FE7"/>
  <w15:docId w15:val="{F18C095B-D60C-A74E-BFAC-07B26A8FC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6807E4"/>
    <w:pPr>
      <w:spacing w:after="100"/>
    </w:pPr>
  </w:style>
  <w:style w:type="paragraph" w:styleId="TOC2">
    <w:name w:val="toc 2"/>
    <w:basedOn w:val="Normal"/>
    <w:next w:val="Normal"/>
    <w:autoRedefine/>
    <w:uiPriority w:val="39"/>
    <w:unhideWhenUsed/>
    <w:rsid w:val="006807E4"/>
    <w:pPr>
      <w:spacing w:after="100"/>
      <w:ind w:left="2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3958</Words>
  <Characters>24065</Characters>
  <Application>Microsoft Office Word</Application>
  <DocSecurity>0</DocSecurity>
  <Lines>481</Lines>
  <Paragraphs>368</Paragraphs>
  <ScaleCrop>false</ScaleCrop>
  <Company/>
  <LinksUpToDate>false</LinksUpToDate>
  <CharactersWithSpaces>27655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Angle Grinders to Continuous Laser Cleaning: A Continuous-Improvement Business Case for Two Land Rigs</dc:title>
  <dc:creator>François Dorléans</dc:creator>
  <cp:lastModifiedBy>Francois Dorleans</cp:lastModifiedBy>
  <cp:revision>2</cp:revision>
  <dcterms:created xsi:type="dcterms:W3CDTF">2026-09-11T07:38:00Z</dcterms:created>
  <dcterms:modified xsi:type="dcterms:W3CDTF">2026-09-11T07:42:00Z</dcterms:modified>
</cp:coreProperties>
</file>