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871C23" w14:textId="77777777" w:rsidR="00180671" w:rsidRPr="009E5F8A" w:rsidRDefault="00180671" w:rsidP="008C068E">
      <w:pPr>
        <w:spacing w:before="600"/>
        <w:rPr>
          <w:lang w:val="fr-FR"/>
        </w:rPr>
      </w:pPr>
    </w:p>
    <w:p w14:paraId="7A4F3304" w14:textId="390707A2" w:rsidR="00180671" w:rsidRPr="009E5F8A" w:rsidRDefault="00000000" w:rsidP="008C068E">
      <w:pPr>
        <w:pStyle w:val="Heading1"/>
        <w:rPr>
          <w:lang w:val="fr-FR"/>
        </w:rPr>
      </w:pPr>
      <w:bookmarkStart w:id="0" w:name="_Toc236489275"/>
      <w:bookmarkStart w:id="1" w:name="_Toc236489354"/>
      <w:r w:rsidRPr="009E5F8A">
        <w:rPr>
          <w:lang w:val="fr-FR"/>
        </w:rPr>
        <w:t>RAPPORT TECHNIQUE</w:t>
      </w:r>
      <w:r w:rsidR="008C068E" w:rsidRPr="009E5F8A">
        <w:rPr>
          <w:lang w:val="fr-FR"/>
        </w:rPr>
        <w:t xml:space="preserve"> de Base Rev 0.0 - 30 juillet 2026</w:t>
      </w:r>
      <w:bookmarkEnd w:id="0"/>
      <w:bookmarkEnd w:id="1"/>
    </w:p>
    <w:p w14:paraId="4B652B85" w14:textId="77777777" w:rsidR="00180671" w:rsidRPr="009E5F8A" w:rsidRDefault="00000000" w:rsidP="008C068E">
      <w:pPr>
        <w:spacing w:after="60"/>
        <w:jc w:val="center"/>
        <w:rPr>
          <w:lang w:val="fr-FR"/>
        </w:rPr>
      </w:pPr>
      <w:r w:rsidRPr="009E5F8A">
        <w:rPr>
          <w:color w:val="4B5563"/>
          <w:sz w:val="24"/>
          <w:szCs w:val="24"/>
          <w:lang w:val="fr-FR"/>
        </w:rPr>
        <w:t>Les défis techniques de Jakarta (Indonésie)</w:t>
      </w:r>
    </w:p>
    <w:p w14:paraId="03436BF4" w14:textId="77777777" w:rsidR="00180671" w:rsidRPr="009E5F8A" w:rsidRDefault="00000000" w:rsidP="008C068E">
      <w:pPr>
        <w:spacing w:after="60"/>
        <w:jc w:val="center"/>
        <w:rPr>
          <w:lang w:val="fr-FR"/>
        </w:rPr>
      </w:pPr>
      <w:r w:rsidRPr="009E5F8A">
        <w:rPr>
          <w:color w:val="4B5563"/>
          <w:sz w:val="24"/>
          <w:szCs w:val="24"/>
          <w:lang w:val="fr-FR"/>
        </w:rPr>
        <w:t>et les solutions apportées par la nouvelle capitale</w:t>
      </w:r>
    </w:p>
    <w:p w14:paraId="4C9132ED" w14:textId="77777777" w:rsidR="00180671" w:rsidRPr="009E5F8A" w:rsidRDefault="00000000" w:rsidP="008C068E">
      <w:pPr>
        <w:spacing w:after="200"/>
        <w:jc w:val="center"/>
        <w:rPr>
          <w:lang w:val="fr-FR"/>
        </w:rPr>
      </w:pPr>
      <w:r w:rsidRPr="009E5F8A">
        <w:rPr>
          <w:b/>
          <w:bCs/>
          <w:color w:val="0A2540"/>
          <w:sz w:val="26"/>
          <w:szCs w:val="26"/>
          <w:lang w:val="fr-FR"/>
        </w:rPr>
        <w:t>Nusantara (Ibu Kota Nusantara – IKN)</w:t>
      </w:r>
    </w:p>
    <w:p w14:paraId="795B8C48" w14:textId="77777777" w:rsidR="00180671" w:rsidRPr="009E5F8A" w:rsidRDefault="00180671" w:rsidP="008C068E">
      <w:pPr>
        <w:pBdr>
          <w:bottom w:val="single" w:sz="18" w:space="1" w:color="1B6B4A"/>
        </w:pBdr>
        <w:spacing w:after="200"/>
        <w:jc w:val="center"/>
        <w:rPr>
          <w:lang w:val="fr-FR"/>
        </w:rPr>
      </w:pPr>
    </w:p>
    <w:p w14:paraId="4821A35C" w14:textId="77777777" w:rsidR="00180671" w:rsidRPr="009E5F8A" w:rsidRDefault="00000000" w:rsidP="008C068E">
      <w:pPr>
        <w:spacing w:after="120"/>
        <w:jc w:val="both"/>
        <w:rPr>
          <w:lang w:val="fr-FR"/>
        </w:rPr>
      </w:pPr>
      <w:r w:rsidRPr="009E5F8A">
        <w:rPr>
          <w:lang w:val="fr-FR"/>
        </w:rPr>
        <w:t>Analyse des enjeux d’affaissement, d’inondations, de congestion, de pollution, d’îlot de chaleur urbain et de dépendance énergétique. Comment le design de Nusantara (forêt-ville, sponge city, smart city) et les options de refroidissement (District Cooling, potentiel SWAC) ainsi que le nucléaire (SMR, thorium, barges/îles) permettent d’éviter les pièges observés à Singapour.</w:t>
      </w:r>
    </w:p>
    <w:p w14:paraId="4D84EE57" w14:textId="77777777" w:rsidR="00180671" w:rsidRPr="009E5F8A" w:rsidRDefault="00000000" w:rsidP="008C068E">
      <w:pPr>
        <w:pBdr>
          <w:top w:val="single" w:sz="8" w:space="0" w:color="1B6B4A"/>
          <w:left w:val="single" w:sz="8" w:space="0" w:color="1B6B4A"/>
          <w:bottom w:val="single" w:sz="8" w:space="0" w:color="1B6B4A"/>
          <w:right w:val="single" w:sz="8" w:space="0" w:color="1B6B4A"/>
        </w:pBdr>
        <w:shd w:val="clear" w:color="auto" w:fill="F0F7F4"/>
        <w:spacing w:before="300" w:after="80"/>
        <w:rPr>
          <w:lang w:val="fr-FR"/>
        </w:rPr>
      </w:pPr>
      <w:r w:rsidRPr="009E5F8A">
        <w:rPr>
          <w:b/>
          <w:bCs/>
          <w:color w:val="1B6B4A"/>
          <w:lang w:val="fr-FR"/>
        </w:rPr>
        <w:t xml:space="preserve">  PROPRIÉTÉ ET GUIDANCE HUMAINE</w:t>
      </w:r>
    </w:p>
    <w:p w14:paraId="7FB86B59" w14:textId="77777777" w:rsidR="00180671" w:rsidRPr="009E5F8A" w:rsidRDefault="00000000" w:rsidP="008C068E">
      <w:pPr>
        <w:spacing w:before="60" w:after="60"/>
        <w:rPr>
          <w:lang w:val="fr-FR"/>
        </w:rPr>
      </w:pPr>
      <w:r w:rsidRPr="009E5F8A">
        <w:rPr>
          <w:i/>
          <w:iCs/>
          <w:sz w:val="18"/>
          <w:szCs w:val="18"/>
          <w:lang w:val="fr-FR"/>
        </w:rPr>
        <w:t>Ce document a été élaboré sous la direction exclusive de M. François Dorléans (compte SuperGrokPro – @FPADorleans). C’est l’humain qui guide Grok sur cette étude, qui en règle les termes de la valeur humaine, et qui a payé (via son abonnement) pour acheter le travail de Grok afin d’assurer la pleine possession du produit fini.</w:t>
      </w:r>
    </w:p>
    <w:p w14:paraId="60FB3D2D" w14:textId="77777777" w:rsidR="00180671" w:rsidRPr="009E5F8A" w:rsidRDefault="00000000" w:rsidP="008C068E">
      <w:pPr>
        <w:spacing w:after="120"/>
        <w:rPr>
          <w:lang w:val="fr-FR"/>
        </w:rPr>
      </w:pPr>
      <w:r w:rsidRPr="009E5F8A">
        <w:rPr>
          <w:i/>
          <w:iCs/>
          <w:sz w:val="18"/>
          <w:szCs w:val="18"/>
          <w:lang w:val="fr-FR"/>
        </w:rPr>
        <w:t>Toute modification, correction, usage ou diffusion ultérieure relève de la propriété intellectuelle et de la souveraineté décisionnelle de François Dorléans. Les agents (Grok, Jules, Martin, Tommek) sont des outils au service de cette direction humaine.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2"/>
        <w:gridCol w:w="6876"/>
      </w:tblGrid>
      <w:tr w:rsidR="00180671" w:rsidRPr="009E5F8A" w14:paraId="4781ADD9" w14:textId="77777777">
        <w:tc>
          <w:tcPr>
            <w:tcW w:w="2800" w:type="dxa"/>
            <w:tcBorders>
              <w:top w:val="single" w:sz="4" w:space="0" w:color="0A2540"/>
              <w:left w:val="single" w:sz="4" w:space="0" w:color="0A2540"/>
              <w:bottom w:val="single" w:sz="4" w:space="0" w:color="CCCCCC"/>
              <w:right w:val="single" w:sz="4" w:space="0" w:color="CCCCCC"/>
            </w:tcBorders>
            <w:shd w:val="clear" w:color="auto" w:fill="F5F7FA"/>
            <w:tcMar>
              <w:top w:w="60" w:type="dxa"/>
              <w:left w:w="100" w:type="dxa"/>
              <w:bottom w:w="60" w:type="dxa"/>
              <w:right w:w="100" w:type="dxa"/>
            </w:tcMar>
          </w:tcPr>
          <w:p w14:paraId="2166CD54" w14:textId="77777777" w:rsidR="00180671" w:rsidRPr="009E5F8A" w:rsidRDefault="00000000" w:rsidP="008C068E">
            <w:pPr>
              <w:rPr>
                <w:lang w:val="fr-FR"/>
              </w:rPr>
            </w:pPr>
            <w:r w:rsidRPr="009E5F8A">
              <w:rPr>
                <w:b/>
                <w:bCs/>
                <w:sz w:val="18"/>
                <w:szCs w:val="18"/>
                <w:lang w:val="fr-FR"/>
              </w:rPr>
              <w:t>Date</w:t>
            </w:r>
          </w:p>
        </w:tc>
        <w:tc>
          <w:tcPr>
            <w:tcW w:w="7000" w:type="dxa"/>
            <w:tcBorders>
              <w:top w:val="single" w:sz="4" w:space="0" w:color="0A2540"/>
              <w:left w:val="single" w:sz="4" w:space="0" w:color="CCCCCC"/>
              <w:bottom w:val="single" w:sz="4" w:space="0" w:color="CCCCCC"/>
              <w:right w:val="single" w:sz="4" w:space="0" w:color="0A2540"/>
            </w:tcBorders>
            <w:tcMar>
              <w:top w:w="60" w:type="dxa"/>
              <w:left w:w="100" w:type="dxa"/>
              <w:bottom w:w="60" w:type="dxa"/>
              <w:right w:w="100" w:type="dxa"/>
            </w:tcMar>
          </w:tcPr>
          <w:p w14:paraId="7FDFCB28" w14:textId="77777777" w:rsidR="00180671" w:rsidRPr="009E5F8A" w:rsidRDefault="00000000" w:rsidP="008C068E">
            <w:pPr>
              <w:rPr>
                <w:lang w:val="fr-FR"/>
              </w:rPr>
            </w:pPr>
            <w:r w:rsidRPr="009E5F8A">
              <w:rPr>
                <w:sz w:val="18"/>
                <w:szCs w:val="18"/>
                <w:lang w:val="fr-FR"/>
              </w:rPr>
              <w:t>30 juillet 2026</w:t>
            </w:r>
          </w:p>
        </w:tc>
      </w:tr>
      <w:tr w:rsidR="00180671" w:rsidRPr="009E5F8A" w14:paraId="7CF8CF2C" w14:textId="77777777">
        <w:tc>
          <w:tcPr>
            <w:tcW w:w="2800" w:type="dxa"/>
            <w:tcBorders>
              <w:top w:val="single" w:sz="4" w:space="0" w:color="CCCCCC"/>
              <w:left w:val="single" w:sz="4" w:space="0" w:color="0A2540"/>
              <w:bottom w:val="single" w:sz="4" w:space="0" w:color="CCCCCC"/>
              <w:right w:val="single" w:sz="4" w:space="0" w:color="CCCCCC"/>
            </w:tcBorders>
            <w:shd w:val="clear" w:color="auto" w:fill="F5F7FA"/>
            <w:tcMar>
              <w:top w:w="60" w:type="dxa"/>
              <w:left w:w="100" w:type="dxa"/>
              <w:bottom w:w="60" w:type="dxa"/>
              <w:right w:w="100" w:type="dxa"/>
            </w:tcMar>
          </w:tcPr>
          <w:p w14:paraId="54F74276" w14:textId="77777777" w:rsidR="00180671" w:rsidRPr="009E5F8A" w:rsidRDefault="00000000" w:rsidP="008C068E">
            <w:pPr>
              <w:rPr>
                <w:lang w:val="fr-FR"/>
              </w:rPr>
            </w:pPr>
            <w:r w:rsidRPr="009E5F8A">
              <w:rPr>
                <w:b/>
                <w:bCs/>
                <w:sz w:val="18"/>
                <w:szCs w:val="18"/>
                <w:lang w:val="fr-FR"/>
              </w:rPr>
              <w:t>Direction humaine</w:t>
            </w:r>
          </w:p>
        </w:tc>
        <w:tc>
          <w:tcPr>
            <w:tcW w:w="7000" w:type="dxa"/>
            <w:tcBorders>
              <w:top w:val="single" w:sz="4" w:space="0" w:color="CCCCCC"/>
              <w:left w:val="single" w:sz="4" w:space="0" w:color="CCCCCC"/>
              <w:bottom w:val="single" w:sz="4" w:space="0" w:color="CCCCCC"/>
              <w:right w:val="single" w:sz="4" w:space="0" w:color="0A2540"/>
            </w:tcBorders>
            <w:tcMar>
              <w:top w:w="60" w:type="dxa"/>
              <w:left w:w="100" w:type="dxa"/>
              <w:bottom w:w="60" w:type="dxa"/>
              <w:right w:w="100" w:type="dxa"/>
            </w:tcMar>
          </w:tcPr>
          <w:p w14:paraId="2CBD8089" w14:textId="77777777" w:rsidR="00180671" w:rsidRPr="009E5F8A" w:rsidRDefault="00000000" w:rsidP="008C068E">
            <w:pPr>
              <w:rPr>
                <w:lang w:val="fr-FR"/>
              </w:rPr>
            </w:pPr>
            <w:r w:rsidRPr="009E5F8A">
              <w:rPr>
                <w:sz w:val="18"/>
                <w:szCs w:val="18"/>
                <w:lang w:val="fr-FR"/>
              </w:rPr>
              <w:t>François Dorléans (FPADorleans) – SuperGrokPro</w:t>
            </w:r>
          </w:p>
        </w:tc>
      </w:tr>
      <w:tr w:rsidR="00180671" w:rsidRPr="009E5F8A" w14:paraId="4F8A71D7" w14:textId="77777777">
        <w:tc>
          <w:tcPr>
            <w:tcW w:w="2800" w:type="dxa"/>
            <w:tcBorders>
              <w:top w:val="single" w:sz="4" w:space="0" w:color="CCCCCC"/>
              <w:left w:val="single" w:sz="4" w:space="0" w:color="0A2540"/>
              <w:bottom w:val="single" w:sz="4" w:space="0" w:color="CCCCCC"/>
              <w:right w:val="single" w:sz="4" w:space="0" w:color="CCCCCC"/>
            </w:tcBorders>
            <w:shd w:val="clear" w:color="auto" w:fill="F5F7FA"/>
            <w:tcMar>
              <w:top w:w="60" w:type="dxa"/>
              <w:left w:w="100" w:type="dxa"/>
              <w:bottom w:w="60" w:type="dxa"/>
              <w:right w:w="100" w:type="dxa"/>
            </w:tcMar>
          </w:tcPr>
          <w:p w14:paraId="7030CF28" w14:textId="77777777" w:rsidR="00180671" w:rsidRPr="009E5F8A" w:rsidRDefault="00000000" w:rsidP="008C068E">
            <w:pPr>
              <w:rPr>
                <w:lang w:val="fr-FR"/>
              </w:rPr>
            </w:pPr>
            <w:r w:rsidRPr="009E5F8A">
              <w:rPr>
                <w:b/>
                <w:bCs/>
                <w:sz w:val="18"/>
                <w:szCs w:val="18"/>
                <w:lang w:val="fr-FR"/>
              </w:rPr>
              <w:t>Exécution technique</w:t>
            </w:r>
          </w:p>
        </w:tc>
        <w:tc>
          <w:tcPr>
            <w:tcW w:w="7000" w:type="dxa"/>
            <w:tcBorders>
              <w:top w:val="single" w:sz="4" w:space="0" w:color="CCCCCC"/>
              <w:left w:val="single" w:sz="4" w:space="0" w:color="CCCCCC"/>
              <w:bottom w:val="single" w:sz="4" w:space="0" w:color="CCCCCC"/>
              <w:right w:val="single" w:sz="4" w:space="0" w:color="0A2540"/>
            </w:tcBorders>
            <w:tcMar>
              <w:top w:w="60" w:type="dxa"/>
              <w:left w:w="100" w:type="dxa"/>
              <w:bottom w:w="60" w:type="dxa"/>
              <w:right w:w="100" w:type="dxa"/>
            </w:tcMar>
          </w:tcPr>
          <w:p w14:paraId="1B881B42" w14:textId="65032D92" w:rsidR="00180671" w:rsidRPr="009E5F8A" w:rsidRDefault="00000000" w:rsidP="008C068E">
            <w:pPr>
              <w:rPr>
                <w:lang w:val="fr-FR"/>
              </w:rPr>
            </w:pPr>
            <w:r w:rsidRPr="009E5F8A">
              <w:rPr>
                <w:sz w:val="18"/>
                <w:szCs w:val="18"/>
                <w:lang w:val="fr-FR"/>
              </w:rPr>
              <w:t>Équipe Grok (</w:t>
            </w:r>
            <w:r w:rsidR="008C068E" w:rsidRPr="009E5F8A">
              <w:rPr>
                <w:sz w:val="18"/>
                <w:szCs w:val="18"/>
                <w:lang w:val="fr-FR"/>
              </w:rPr>
              <w:t>Grok Heavy 16 Agents</w:t>
            </w:r>
            <w:r w:rsidRPr="009E5F8A">
              <w:rPr>
                <w:sz w:val="18"/>
                <w:szCs w:val="18"/>
                <w:lang w:val="fr-FR"/>
              </w:rPr>
              <w:t>)</w:t>
            </w:r>
          </w:p>
        </w:tc>
      </w:tr>
      <w:tr w:rsidR="00180671" w:rsidRPr="009E5F8A" w14:paraId="5AD77AAF" w14:textId="77777777">
        <w:tc>
          <w:tcPr>
            <w:tcW w:w="2800" w:type="dxa"/>
            <w:tcBorders>
              <w:top w:val="single" w:sz="4" w:space="0" w:color="CCCCCC"/>
              <w:left w:val="single" w:sz="4" w:space="0" w:color="0A2540"/>
              <w:bottom w:val="single" w:sz="4" w:space="0" w:color="0A2540"/>
              <w:right w:val="single" w:sz="4" w:space="0" w:color="CCCCCC"/>
            </w:tcBorders>
            <w:shd w:val="clear" w:color="auto" w:fill="F5F7FA"/>
            <w:tcMar>
              <w:top w:w="60" w:type="dxa"/>
              <w:left w:w="100" w:type="dxa"/>
              <w:bottom w:w="60" w:type="dxa"/>
              <w:right w:w="100" w:type="dxa"/>
            </w:tcMar>
          </w:tcPr>
          <w:p w14:paraId="0D3E2E29" w14:textId="77777777" w:rsidR="00180671" w:rsidRPr="009E5F8A" w:rsidRDefault="00000000" w:rsidP="008C068E">
            <w:pPr>
              <w:rPr>
                <w:lang w:val="fr-FR"/>
              </w:rPr>
            </w:pPr>
            <w:r w:rsidRPr="009E5F8A">
              <w:rPr>
                <w:b/>
                <w:bCs/>
                <w:sz w:val="18"/>
                <w:szCs w:val="18"/>
                <w:lang w:val="fr-FR"/>
              </w:rPr>
              <w:t>Statut</w:t>
            </w:r>
          </w:p>
        </w:tc>
        <w:tc>
          <w:tcPr>
            <w:tcW w:w="7000" w:type="dxa"/>
            <w:tcBorders>
              <w:top w:val="single" w:sz="4" w:space="0" w:color="CCCCCC"/>
              <w:left w:val="single" w:sz="4" w:space="0" w:color="CCCCCC"/>
              <w:bottom w:val="single" w:sz="4" w:space="0" w:color="0A2540"/>
              <w:right w:val="single" w:sz="4" w:space="0" w:color="0A2540"/>
            </w:tcBorders>
            <w:tcMar>
              <w:top w:w="60" w:type="dxa"/>
              <w:left w:w="100" w:type="dxa"/>
              <w:bottom w:w="60" w:type="dxa"/>
              <w:right w:w="100" w:type="dxa"/>
            </w:tcMar>
          </w:tcPr>
          <w:p w14:paraId="257D8156" w14:textId="77777777" w:rsidR="00180671" w:rsidRPr="009E5F8A" w:rsidRDefault="00000000" w:rsidP="008C068E">
            <w:pPr>
              <w:rPr>
                <w:lang w:val="fr-FR"/>
              </w:rPr>
            </w:pPr>
            <w:r w:rsidRPr="009E5F8A">
              <w:rPr>
                <w:b/>
                <w:bCs/>
                <w:color w:val="1B6B4A"/>
                <w:sz w:val="18"/>
                <w:szCs w:val="18"/>
                <w:lang w:val="fr-FR"/>
              </w:rPr>
              <w:t>DOCUMENT COMPLET – version éditable Word pour corrections</w:t>
            </w:r>
          </w:p>
        </w:tc>
      </w:tr>
    </w:tbl>
    <w:p w14:paraId="178A7F7E" w14:textId="77777777" w:rsidR="00180671" w:rsidRPr="009E5F8A" w:rsidRDefault="00000000" w:rsidP="008C068E">
      <w:pPr>
        <w:spacing w:before="200"/>
        <w:rPr>
          <w:lang w:val="fr-FR"/>
        </w:rPr>
      </w:pPr>
      <w:r w:rsidRPr="009E5F8A">
        <w:rPr>
          <w:i/>
          <w:iCs/>
          <w:color w:val="4B5563"/>
          <w:sz w:val="16"/>
          <w:szCs w:val="16"/>
          <w:lang w:val="fr-FR"/>
        </w:rPr>
        <w:t>Disclaimer : Ce rapport s’appuie exclusivement sur des sources publiques officielles, scientifiques et institutionnelles (ikn.go.id, World Nuclear Association, études InSAR, rapports ADB/UNDP, RUPTL PLN, etc.). Les options SWAC et nucléaires sont présentées comme potentielles et non comme engagements du masterplan officiel IKN, qui privilégie les renouvelables (hydro, solaire).</w:t>
      </w:r>
    </w:p>
    <w:p w14:paraId="3749B82D" w14:textId="77777777" w:rsidR="00180671" w:rsidRPr="009E5F8A" w:rsidRDefault="00000000" w:rsidP="008C068E">
      <w:pPr>
        <w:rPr>
          <w:lang w:val="fr-FR"/>
        </w:rPr>
      </w:pPr>
      <w:r w:rsidRPr="009E5F8A">
        <w:rPr>
          <w:lang w:val="fr-FR"/>
        </w:rPr>
        <w:br w:type="page"/>
      </w:r>
    </w:p>
    <w:p w14:paraId="222B610E" w14:textId="77777777" w:rsidR="00180671" w:rsidRPr="009E5F8A" w:rsidRDefault="00000000" w:rsidP="008C068E">
      <w:pPr>
        <w:pStyle w:val="Heading2"/>
        <w:rPr>
          <w:lang w:val="fr-FR"/>
        </w:rPr>
      </w:pPr>
      <w:bookmarkStart w:id="2" w:name="_Toc236489276"/>
      <w:bookmarkStart w:id="3" w:name="_Toc236489355"/>
      <w:r w:rsidRPr="009E5F8A">
        <w:rPr>
          <w:lang w:val="fr-FR"/>
        </w:rPr>
        <w:lastRenderedPageBreak/>
        <w:t>1. Introduction</w:t>
      </w:r>
      <w:bookmarkEnd w:id="2"/>
      <w:bookmarkEnd w:id="3"/>
    </w:p>
    <w:p w14:paraId="75370D3B" w14:textId="77777777" w:rsidR="00180671" w:rsidRPr="009E5F8A" w:rsidRDefault="00000000" w:rsidP="008C068E">
      <w:pPr>
        <w:spacing w:after="120"/>
        <w:jc w:val="both"/>
        <w:rPr>
          <w:lang w:val="fr-FR"/>
        </w:rPr>
      </w:pPr>
      <w:r w:rsidRPr="009E5F8A">
        <w:rPr>
          <w:lang w:val="fr-FR"/>
        </w:rPr>
        <w:t>Jakarta, capitale actuelle de l’Indonésie et l’une des plus grandes métropoles du monde (agglomération estimée à plus de 30–40 millions d’habitants selon les délimitations), fait face à une combinaison unique de défis techniques structurels. L’affaissement du sol (land subsidence), les inondations récurrentes, la congestion routière extrême, la pollution atmosphérique et hydrique, l’îlot de chaleur urbain et une dépendance énergétique encore largement fossile rendent la ville de plus en plus vulnérable aux effets du changement climatique et à la pression démographique.</w:t>
      </w:r>
    </w:p>
    <w:p w14:paraId="5C0384A5" w14:textId="77777777" w:rsidR="00180671" w:rsidRPr="009E5F8A" w:rsidRDefault="00000000" w:rsidP="008C068E">
      <w:pPr>
        <w:spacing w:after="120"/>
        <w:jc w:val="both"/>
        <w:rPr>
          <w:lang w:val="fr-FR"/>
        </w:rPr>
      </w:pPr>
      <w:r w:rsidRPr="009E5F8A">
        <w:rPr>
          <w:lang w:val="fr-FR"/>
        </w:rPr>
        <w:t>Depuis 2019, le gouvernement indonésien a décidé de déménager la capitale administrative et politique vers une nouvelle cité, baptisée Nusantara (Ibu Kota Nusantara – IKN), située en Kalimantan Est (Bornéo). Le projet, formalisé par la Loi n° 3/2022 et le Règlement présidentiel n° 63/2022, vise à construire une capitale « forêt-ville », « sponge city » et « smart city », conçue dès l’origine pour être résiliente, à faible empreinte carbone et indépendante sur le plan énergétique.</w:t>
      </w:r>
    </w:p>
    <w:p w14:paraId="0E04A3A8" w14:textId="77777777" w:rsidR="00180671" w:rsidRPr="009E5F8A" w:rsidRDefault="00000000" w:rsidP="008C068E">
      <w:pPr>
        <w:spacing w:after="120"/>
        <w:jc w:val="both"/>
        <w:rPr>
          <w:lang w:val="fr-FR"/>
        </w:rPr>
      </w:pPr>
      <w:r w:rsidRPr="009E5F8A">
        <w:rPr>
          <w:lang w:val="fr-FR"/>
        </w:rPr>
        <w:t>Ce rapport examine de manière factuelle les principaux défis techniques de Jakarta, analyse les pièges observables à Singapour (dépendance énergétique quasi-totale aux imports et amplification de l’îlot de chaleur par les rejets de climatisation), puis détaille comment le design de Nusantara et les options technologiques avancées (District Cooling System déjà mandaté, potentiel SWAC – Seawater Air Conditioning –, et nucléaire SMR/thorium sur barges ou sites côtiers) permettent d’éviter ces écueils.</w:t>
      </w:r>
    </w:p>
    <w:p w14:paraId="63072538" w14:textId="77777777" w:rsidR="00180671" w:rsidRPr="009E5F8A" w:rsidRDefault="00000000" w:rsidP="008C068E">
      <w:pPr>
        <w:pStyle w:val="Heading2"/>
        <w:rPr>
          <w:lang w:val="fr-FR"/>
        </w:rPr>
      </w:pPr>
      <w:bookmarkStart w:id="4" w:name="_Toc236489277"/>
      <w:bookmarkStart w:id="5" w:name="_Toc236489356"/>
      <w:r w:rsidRPr="009E5F8A">
        <w:rPr>
          <w:lang w:val="fr-FR"/>
        </w:rPr>
        <w:t>2. Les défis techniques majeurs de Jakarta</w:t>
      </w:r>
      <w:bookmarkEnd w:id="4"/>
      <w:bookmarkEnd w:id="5"/>
    </w:p>
    <w:p w14:paraId="242BB03C" w14:textId="77777777" w:rsidR="00180671" w:rsidRPr="009E5F8A" w:rsidRDefault="00000000" w:rsidP="008C068E">
      <w:pPr>
        <w:pStyle w:val="Heading3"/>
        <w:rPr>
          <w:lang w:val="fr-FR"/>
        </w:rPr>
      </w:pPr>
      <w:bookmarkStart w:id="6" w:name="_Toc236489278"/>
      <w:bookmarkStart w:id="7" w:name="_Toc236489357"/>
      <w:r w:rsidRPr="009E5F8A">
        <w:rPr>
          <w:lang w:val="fr-FR"/>
        </w:rPr>
        <w:t>2.1 Affaissement du sol (land subsidence) et inondations</w:t>
      </w:r>
      <w:bookmarkEnd w:id="6"/>
      <w:bookmarkEnd w:id="7"/>
    </w:p>
    <w:p w14:paraId="3B14ADF0" w14:textId="77777777" w:rsidR="00180671" w:rsidRPr="009E5F8A" w:rsidRDefault="00000000" w:rsidP="008C068E">
      <w:pPr>
        <w:spacing w:after="100"/>
        <w:jc w:val="both"/>
        <w:rPr>
          <w:lang w:val="fr-FR"/>
        </w:rPr>
      </w:pPr>
      <w:r w:rsidRPr="009E5F8A">
        <w:rPr>
          <w:lang w:val="fr-FR"/>
        </w:rPr>
        <w:t>Jakarta est construite sur une plaine deltaïque alluviale, avec un sol compressible. L’extraction massive d’eau souterraine (légale et illégale) pour compenser l’insuffisance du réseau d’eau potable constitue la cause principale de l’affaissement. Les taux mesurés par InSAR, GPS et nivellement varient spatialement :</w:t>
      </w:r>
    </w:p>
    <w:p w14:paraId="2361963F" w14:textId="77777777" w:rsidR="00180671" w:rsidRPr="009E5F8A" w:rsidRDefault="00000000" w:rsidP="008C068E">
      <w:pPr>
        <w:pStyle w:val="ListParagraph"/>
        <w:numPr>
          <w:ilvl w:val="0"/>
          <w:numId w:val="2"/>
        </w:numPr>
        <w:rPr>
          <w:lang w:val="fr-FR"/>
        </w:rPr>
      </w:pPr>
      <w:r w:rsidRPr="009E5F8A">
        <w:rPr>
          <w:lang w:val="fr-FR"/>
        </w:rPr>
        <w:t>Moyenne récente : environ 3,5 cm/an (données BRIN et études 2024–2026).</w:t>
      </w:r>
    </w:p>
    <w:p w14:paraId="71CDC25B" w14:textId="77777777" w:rsidR="00180671" w:rsidRPr="009E5F8A" w:rsidRDefault="00000000" w:rsidP="008C068E">
      <w:pPr>
        <w:pStyle w:val="ListParagraph"/>
        <w:numPr>
          <w:ilvl w:val="0"/>
          <w:numId w:val="2"/>
        </w:numPr>
        <w:rPr>
          <w:lang w:val="fr-FR"/>
        </w:rPr>
      </w:pPr>
      <w:r w:rsidRPr="009E5F8A">
        <w:rPr>
          <w:lang w:val="fr-FR"/>
        </w:rPr>
        <w:t>Hotspots Nord et Ouest de Jakarta : historiquement jusqu’à 10–25 cm/an (certains secteurs ont atteint 15–26 cm/an dans les décennies passées).</w:t>
      </w:r>
    </w:p>
    <w:p w14:paraId="7DA6043B" w14:textId="77777777" w:rsidR="00180671" w:rsidRPr="009E5F8A" w:rsidRDefault="00000000" w:rsidP="008C068E">
      <w:pPr>
        <w:pStyle w:val="ListParagraph"/>
        <w:numPr>
          <w:ilvl w:val="0"/>
          <w:numId w:val="2"/>
        </w:numPr>
        <w:spacing w:after="100"/>
        <w:rPr>
          <w:lang w:val="fr-FR"/>
        </w:rPr>
      </w:pPr>
      <w:r w:rsidRPr="009E5F8A">
        <w:rPr>
          <w:lang w:val="fr-FR"/>
        </w:rPr>
        <w:t>Environ 40 % de la superficie de Jakarta se trouve déjà sous le niveau de la mer. Des projections indiquent qu’une part significative du nord de la ville pourrait être inondée ou inhabitable d’ici 2050 sans mesures drastiques.</w:t>
      </w:r>
    </w:p>
    <w:p w14:paraId="64FD5048" w14:textId="77777777" w:rsidR="00180671" w:rsidRPr="009E5F8A" w:rsidRDefault="00000000" w:rsidP="008C068E">
      <w:pPr>
        <w:spacing w:after="120"/>
        <w:jc w:val="both"/>
        <w:rPr>
          <w:lang w:val="fr-FR"/>
        </w:rPr>
      </w:pPr>
      <w:r w:rsidRPr="009E5F8A">
        <w:rPr>
          <w:lang w:val="fr-FR"/>
        </w:rPr>
        <w:t>L’affaissement aggrave les inondations de deux manières : (1) il empêche le drainage naturel vers la mer ; (2) il amplifie l’impact de la hausse du niveau marin et des pluies extrêmes. Les études JICA et scientifiques attribuent environ 65 % de l’augmentation des dommages d’inondation à la subsidence, contre 15 % au changement climatique seul. Le projet de Giant Sea Wall (NCICD) a connu des retards répétés.</w:t>
      </w:r>
    </w:p>
    <w:p w14:paraId="64FDB5F1" w14:textId="77777777" w:rsidR="00180671" w:rsidRPr="009E5F8A" w:rsidRDefault="00000000" w:rsidP="008C068E">
      <w:pPr>
        <w:pStyle w:val="Heading3"/>
        <w:rPr>
          <w:lang w:val="fr-FR"/>
        </w:rPr>
      </w:pPr>
      <w:bookmarkStart w:id="8" w:name="_Toc236489279"/>
      <w:bookmarkStart w:id="9" w:name="_Toc236489358"/>
      <w:r w:rsidRPr="009E5F8A">
        <w:rPr>
          <w:lang w:val="fr-FR"/>
        </w:rPr>
        <w:t>2.2 Congestion, pollution de l’air et infrastructure vieillissante</w:t>
      </w:r>
      <w:bookmarkEnd w:id="8"/>
      <w:bookmarkEnd w:id="9"/>
    </w:p>
    <w:p w14:paraId="7439CBF1" w14:textId="77777777" w:rsidR="00180671" w:rsidRPr="009E5F8A" w:rsidRDefault="00000000" w:rsidP="008C068E">
      <w:pPr>
        <w:spacing w:after="120"/>
        <w:jc w:val="both"/>
        <w:rPr>
          <w:lang w:val="fr-FR"/>
        </w:rPr>
      </w:pPr>
      <w:r w:rsidRPr="009E5F8A">
        <w:rPr>
          <w:lang w:val="fr-FR"/>
        </w:rPr>
        <w:t>Jakarta figure régulièrement parmi les villes les plus congestionnées au monde. Des millions de véhicules particuliers, motos et transports informels saturent un réseau routier insuffisant. Les conséquences sont une pollution atmosphérique chronique (PM2.5, NOx, ozone) et des pertes économiques massives en temps et carburant. L’infrastructure de drainage, d’assainissement et de transport public a pris du retard par rapport à la croissance urbaine explosive des dernières décennies.</w:t>
      </w:r>
    </w:p>
    <w:p w14:paraId="6851E43E" w14:textId="77777777" w:rsidR="00180671" w:rsidRPr="009E5F8A" w:rsidRDefault="00000000" w:rsidP="008C068E">
      <w:pPr>
        <w:pStyle w:val="Heading3"/>
        <w:rPr>
          <w:lang w:val="fr-FR"/>
        </w:rPr>
      </w:pPr>
      <w:bookmarkStart w:id="10" w:name="_Toc236489280"/>
      <w:bookmarkStart w:id="11" w:name="_Toc236489359"/>
      <w:r w:rsidRPr="009E5F8A">
        <w:rPr>
          <w:lang w:val="fr-FR"/>
        </w:rPr>
        <w:t>2.3 Îlot de chaleur urbain (UHI) et climatisation</w:t>
      </w:r>
      <w:bookmarkEnd w:id="10"/>
      <w:bookmarkEnd w:id="11"/>
    </w:p>
    <w:p w14:paraId="28AE1CEE" w14:textId="77777777" w:rsidR="00180671" w:rsidRPr="009E5F8A" w:rsidRDefault="00000000" w:rsidP="008C068E">
      <w:pPr>
        <w:spacing w:after="120"/>
        <w:jc w:val="both"/>
        <w:rPr>
          <w:lang w:val="fr-FR"/>
        </w:rPr>
      </w:pPr>
      <w:r w:rsidRPr="009E5F8A">
        <w:rPr>
          <w:lang w:val="fr-FR"/>
        </w:rPr>
        <w:t>La densification, les matériaux minéraux (béton, asphalte), le manque d’espaces verts et les rejets de chaleur des climatiseurs individuels créent un îlot de chaleur urbain marqué. Les climatiseurs rejettent de la chaleur sensible dans les rues et les canyons urbains, ce qui élève la température ambiante et augmente encore la demande de froid (boucle de rétroaction). Ce phénomène est particulièrement critique sous climat tropical.</w:t>
      </w:r>
    </w:p>
    <w:p w14:paraId="3A989A59" w14:textId="77777777" w:rsidR="00180671" w:rsidRPr="009E5F8A" w:rsidRDefault="00000000" w:rsidP="008C068E">
      <w:pPr>
        <w:pStyle w:val="Heading3"/>
        <w:rPr>
          <w:lang w:val="fr-FR"/>
        </w:rPr>
      </w:pPr>
      <w:bookmarkStart w:id="12" w:name="_Toc236489281"/>
      <w:bookmarkStart w:id="13" w:name="_Toc236489360"/>
      <w:r w:rsidRPr="009E5F8A">
        <w:rPr>
          <w:lang w:val="fr-FR"/>
        </w:rPr>
        <w:t>2.4 Dépendance énergétique et stress hydrique</w:t>
      </w:r>
      <w:bookmarkEnd w:id="12"/>
      <w:bookmarkEnd w:id="13"/>
    </w:p>
    <w:p w14:paraId="0B66118A" w14:textId="77777777" w:rsidR="00180671" w:rsidRPr="009E5F8A" w:rsidRDefault="00000000" w:rsidP="008C068E">
      <w:pPr>
        <w:spacing w:after="120"/>
        <w:jc w:val="both"/>
        <w:rPr>
          <w:lang w:val="fr-FR"/>
        </w:rPr>
      </w:pPr>
      <w:r w:rsidRPr="009E5F8A">
        <w:rPr>
          <w:lang w:val="fr-FR"/>
        </w:rPr>
        <w:t>L’électricité de Jakarta repose encore majoritairement sur le charbon et le gaz. L’extraction d’eau souterraine non contrôlée, combinée à la pollution des rivières (13 cours d’eau traversent la ville), crée un stress hydrique structurel. L’intrusion d’eau salée s’aggrave avec la subsidence.</w:t>
      </w:r>
    </w:p>
    <w:p w14:paraId="65BBA05D" w14:textId="77777777" w:rsidR="00180671" w:rsidRPr="009E5F8A" w:rsidRDefault="00000000" w:rsidP="008C068E">
      <w:pPr>
        <w:pStyle w:val="Heading3"/>
        <w:rPr>
          <w:lang w:val="fr-FR"/>
        </w:rPr>
      </w:pPr>
      <w:bookmarkStart w:id="14" w:name="_Toc236489282"/>
      <w:bookmarkStart w:id="15" w:name="_Toc236489361"/>
      <w:r w:rsidRPr="009E5F8A">
        <w:rPr>
          <w:lang w:val="fr-FR"/>
        </w:rPr>
        <w:t>2.5 Autres risques techniques</w:t>
      </w:r>
      <w:bookmarkEnd w:id="14"/>
      <w:bookmarkEnd w:id="15"/>
    </w:p>
    <w:p w14:paraId="6A0409B1" w14:textId="77777777" w:rsidR="00180671" w:rsidRPr="009E5F8A" w:rsidRDefault="00000000" w:rsidP="008C068E">
      <w:pPr>
        <w:spacing w:after="120"/>
        <w:jc w:val="both"/>
        <w:rPr>
          <w:lang w:val="fr-FR"/>
        </w:rPr>
      </w:pPr>
      <w:r w:rsidRPr="009E5F8A">
        <w:rPr>
          <w:lang w:val="fr-FR"/>
        </w:rPr>
        <w:t>Risques sismiques (Indonésie se situe sur la ceinture de feu), vulnérabilité aux tsunamis (moins critique pour Jakarta que pour d’autres côtes), et surcharge démographique (ville-cœur ~10 millions, métropole bien plus large). La combinaison de ces facteurs rend toute adaptation purement locale extrêmement coûteuse et techniquement limitée.</w:t>
      </w:r>
    </w:p>
    <w:p w14:paraId="37F4B972" w14:textId="77777777" w:rsidR="00180671" w:rsidRPr="009E5F8A" w:rsidRDefault="00000000" w:rsidP="008C068E">
      <w:pPr>
        <w:pStyle w:val="Heading2"/>
        <w:rPr>
          <w:lang w:val="fr-FR"/>
        </w:rPr>
      </w:pPr>
      <w:bookmarkStart w:id="16" w:name="_Toc236489283"/>
      <w:bookmarkStart w:id="17" w:name="_Toc236489362"/>
      <w:r w:rsidRPr="009E5F8A">
        <w:rPr>
          <w:lang w:val="fr-FR"/>
        </w:rPr>
        <w:lastRenderedPageBreak/>
        <w:t>3. Les pièges de Singapour à éviter</w:t>
      </w:r>
      <w:bookmarkEnd w:id="16"/>
      <w:bookmarkEnd w:id="17"/>
    </w:p>
    <w:p w14:paraId="427B24B4" w14:textId="77777777" w:rsidR="00180671" w:rsidRPr="009E5F8A" w:rsidRDefault="00000000" w:rsidP="008C068E">
      <w:pPr>
        <w:pStyle w:val="Heading3"/>
        <w:rPr>
          <w:lang w:val="fr-FR"/>
        </w:rPr>
      </w:pPr>
      <w:bookmarkStart w:id="18" w:name="_Toc236489284"/>
      <w:bookmarkStart w:id="19" w:name="_Toc236489363"/>
      <w:r w:rsidRPr="009E5F8A">
        <w:rPr>
          <w:lang w:val="fr-FR"/>
        </w:rPr>
        <w:t>3.1 Dépendance énergétique quasi-totale</w:t>
      </w:r>
      <w:bookmarkEnd w:id="18"/>
      <w:bookmarkEnd w:id="19"/>
    </w:p>
    <w:p w14:paraId="093BE283" w14:textId="77777777" w:rsidR="00180671" w:rsidRPr="009E5F8A" w:rsidRDefault="00000000" w:rsidP="008C068E">
      <w:pPr>
        <w:spacing w:after="120"/>
        <w:jc w:val="both"/>
        <w:rPr>
          <w:lang w:val="fr-FR"/>
        </w:rPr>
      </w:pPr>
      <w:r w:rsidRPr="009E5F8A">
        <w:rPr>
          <w:lang w:val="fr-FR"/>
        </w:rPr>
        <w:t>Singapour importe la quasi-totalité de son énergie primaire. L’électricité repose essentiellement sur le gaz naturel (pipeline depuis la Malaisie et l’Indonésie + LNG). Cette dépendance expose la cité-État aux chocs de prix, aux risques géopolitiques et aux interruptions d’approvisionnement. Les statistiques de l’Energy Market Authority (EMA) confirment une production locale fossile négligeable.</w:t>
      </w:r>
    </w:p>
    <w:p w14:paraId="596D7C40" w14:textId="77777777" w:rsidR="00180671" w:rsidRPr="009E5F8A" w:rsidRDefault="00000000" w:rsidP="008C068E">
      <w:pPr>
        <w:pStyle w:val="Heading3"/>
        <w:rPr>
          <w:lang w:val="fr-FR"/>
        </w:rPr>
      </w:pPr>
      <w:bookmarkStart w:id="20" w:name="_Toc236489285"/>
      <w:bookmarkStart w:id="21" w:name="_Toc236489364"/>
      <w:r w:rsidRPr="009E5F8A">
        <w:rPr>
          <w:lang w:val="fr-FR"/>
        </w:rPr>
        <w:t>3.2 Amplification de l’îlot de chaleur par les climatiseurs</w:t>
      </w:r>
      <w:bookmarkEnd w:id="20"/>
      <w:bookmarkEnd w:id="21"/>
    </w:p>
    <w:p w14:paraId="58449A16" w14:textId="77777777" w:rsidR="00180671" w:rsidRPr="009E5F8A" w:rsidRDefault="00000000" w:rsidP="008C068E">
      <w:pPr>
        <w:spacing w:after="120"/>
        <w:jc w:val="both"/>
        <w:rPr>
          <w:lang w:val="fr-FR"/>
        </w:rPr>
      </w:pPr>
      <w:r w:rsidRPr="009E5F8A">
        <w:rPr>
          <w:lang w:val="fr-FR"/>
        </w:rPr>
        <w:t>Les études (dont des travaux de l’Université nationale de Singapour et des modélisations atmosphériques) montrent que la chaleur rejetée par les condensateurs de climatisation contribue significativement à l’élévation de la température de l’air urbain, particulièrement en fin de journée et la nuit. L’UHI moyen à Singapour est d’environ +4 °C, pouvant atteindre +7 °C dans certains secteurs. Cela crée une spirale : plus de chaleur → plus de climatisation → plus de rejet de chaleur → encore plus de chaleur. Les systèmes de District Cooling (réseaux de froid centralisés) sont déjà utilisés dans certains districts pour atténuer ce problème, mais le parc de climatisations individuelles reste dominant.</w:t>
      </w:r>
    </w:p>
    <w:p w14:paraId="5AD81AFA" w14:textId="77777777" w:rsidR="00180671" w:rsidRPr="009E5F8A" w:rsidRDefault="00000000" w:rsidP="008C068E">
      <w:pPr>
        <w:pStyle w:val="Heading2"/>
        <w:rPr>
          <w:lang w:val="fr-FR"/>
        </w:rPr>
      </w:pPr>
      <w:bookmarkStart w:id="22" w:name="_Toc236489286"/>
      <w:bookmarkStart w:id="23" w:name="_Toc236489365"/>
      <w:r w:rsidRPr="009E5F8A">
        <w:rPr>
          <w:lang w:val="fr-FR"/>
        </w:rPr>
        <w:t>4. Nusantara (IKN) : vision, statut et principes de design</w:t>
      </w:r>
      <w:bookmarkEnd w:id="22"/>
      <w:bookmarkEnd w:id="23"/>
    </w:p>
    <w:p w14:paraId="2F8FD29F" w14:textId="77777777" w:rsidR="00180671" w:rsidRPr="009E5F8A" w:rsidRDefault="00000000" w:rsidP="008C068E">
      <w:pPr>
        <w:pStyle w:val="Heading3"/>
        <w:rPr>
          <w:lang w:val="fr-FR"/>
        </w:rPr>
      </w:pPr>
      <w:bookmarkStart w:id="24" w:name="_Toc236489287"/>
      <w:bookmarkStart w:id="25" w:name="_Toc236489366"/>
      <w:r w:rsidRPr="009E5F8A">
        <w:rPr>
          <w:lang w:val="fr-FR"/>
        </w:rPr>
        <w:t>4.1 Localisation et statut en juillet 2026</w:t>
      </w:r>
      <w:bookmarkEnd w:id="24"/>
      <w:bookmarkEnd w:id="25"/>
    </w:p>
    <w:p w14:paraId="3B8FE385" w14:textId="77777777" w:rsidR="00180671" w:rsidRPr="009E5F8A" w:rsidRDefault="00000000" w:rsidP="008C068E">
      <w:pPr>
        <w:spacing w:after="120"/>
        <w:jc w:val="both"/>
        <w:rPr>
          <w:lang w:val="fr-FR"/>
        </w:rPr>
      </w:pPr>
      <w:r w:rsidRPr="009E5F8A">
        <w:rPr>
          <w:lang w:val="fr-FR"/>
        </w:rPr>
        <w:t>Nusantara est située en Kalimantan Est (comtés de Penajam Paser Utara et Kutai Kartanegara). Superficie totale de la zone stratégique nationale : environ 256 000 ha ; zone de développement principale ~56 000–196 000 ha selon les délimitations. La construction a démarré en 2022. Une inauguration partielle a eu lieu en 2024. En 2026, le Président Prabowo Subianto a réaffirmé l’engagement (visite officielle janvier 2026) et fixé l’objectif de faire de Nusantara la capitale politique en 2028. Le déménagement progressif de fonctionnaires se poursuit (objectifs de plusieurs milliers d’agents). Les budgets ont été ajustés, mais les travaux d’infrastructure (routes, barrages, bâtiments gouvernementaux, solaire) avancent. Population cible à long terme : environ 1,9–2 millions d’habitants d’ici 2045.</w:t>
      </w:r>
    </w:p>
    <w:p w14:paraId="1A184347" w14:textId="77777777" w:rsidR="00180671" w:rsidRPr="009E5F8A" w:rsidRDefault="00000000" w:rsidP="008C068E">
      <w:pPr>
        <w:pStyle w:val="Heading3"/>
        <w:rPr>
          <w:lang w:val="fr-FR"/>
        </w:rPr>
      </w:pPr>
      <w:bookmarkStart w:id="26" w:name="_Toc236489288"/>
      <w:bookmarkStart w:id="27" w:name="_Toc236489367"/>
      <w:r w:rsidRPr="009E5F8A">
        <w:rPr>
          <w:lang w:val="fr-FR"/>
        </w:rPr>
        <w:t>4.2 Les trois piliers du masterplan (Perpres 63/2022 et documents OIKN)</w:t>
      </w:r>
      <w:bookmarkEnd w:id="26"/>
      <w:bookmarkEnd w:id="27"/>
    </w:p>
    <w:p w14:paraId="2FD9CC17" w14:textId="77777777" w:rsidR="00180671" w:rsidRPr="009E5F8A" w:rsidRDefault="00000000" w:rsidP="008C068E">
      <w:pPr>
        <w:spacing w:after="80"/>
        <w:jc w:val="both"/>
        <w:rPr>
          <w:lang w:val="fr-FR"/>
        </w:rPr>
      </w:pPr>
      <w:r w:rsidRPr="009E5F8A">
        <w:rPr>
          <w:b/>
          <w:bCs/>
          <w:lang w:val="fr-FR"/>
        </w:rPr>
        <w:t>Forest City</w:t>
      </w:r>
      <w:r w:rsidRPr="009E5F8A">
        <w:rPr>
          <w:lang w:val="fr-FR"/>
        </w:rPr>
        <w:t xml:space="preserve"> : plus de 75 % d’espaces verts ouverts dans la zone gouvernementale ; accès pour 100 % des résidents à un espace vert récréatif en moins de 10 minutes ; construction 100 % respectueuse de l’environnement pour les immeubles de grande hauteur.</w:t>
      </w:r>
    </w:p>
    <w:p w14:paraId="51776B44" w14:textId="77777777" w:rsidR="00180671" w:rsidRPr="009E5F8A" w:rsidRDefault="00000000" w:rsidP="008C068E">
      <w:pPr>
        <w:spacing w:after="80"/>
        <w:jc w:val="both"/>
        <w:rPr>
          <w:lang w:val="fr-FR"/>
        </w:rPr>
      </w:pPr>
      <w:r w:rsidRPr="009E5F8A">
        <w:rPr>
          <w:b/>
          <w:bCs/>
          <w:lang w:val="fr-FR"/>
        </w:rPr>
        <w:t>Sponge City</w:t>
      </w:r>
      <w:r w:rsidRPr="009E5F8A">
        <w:rPr>
          <w:lang w:val="fr-FR"/>
        </w:rPr>
        <w:t xml:space="preserve"> : restauration du cycle naturel de l’eau, rétention et infiltration des eaux de pluie, surfaces poreuses, toits verts, systèmes de rétention in situ. Objectif : 100 % des eaux usées traitées d’ici 2035.</w:t>
      </w:r>
    </w:p>
    <w:p w14:paraId="6D5AF288" w14:textId="77777777" w:rsidR="00180671" w:rsidRPr="009E5F8A" w:rsidRDefault="00000000" w:rsidP="008C068E">
      <w:pPr>
        <w:spacing w:after="120"/>
        <w:jc w:val="both"/>
        <w:rPr>
          <w:lang w:val="fr-FR"/>
        </w:rPr>
      </w:pPr>
      <w:r w:rsidRPr="009E5F8A">
        <w:rPr>
          <w:b/>
          <w:bCs/>
          <w:lang w:val="fr-FR"/>
        </w:rPr>
        <w:t>Smart City</w:t>
      </w:r>
      <w:r w:rsidRPr="009E5F8A">
        <w:rPr>
          <w:lang w:val="fr-FR"/>
        </w:rPr>
        <w:t xml:space="preserve"> : connectivité numérique 100 %, bâtiments intelligents (guidelines publiés par l’Autorité IKN), gestion optimisée de l’énergie, de l’eau et des déchets, transport public et véhicules électriques prioritaires.</w:t>
      </w:r>
    </w:p>
    <w:p w14:paraId="55173BA6" w14:textId="77777777" w:rsidR="00180671" w:rsidRPr="009E5F8A" w:rsidRDefault="00000000" w:rsidP="008C068E">
      <w:pPr>
        <w:pStyle w:val="Heading3"/>
        <w:rPr>
          <w:lang w:val="fr-FR"/>
        </w:rPr>
      </w:pPr>
      <w:bookmarkStart w:id="28" w:name="_Toc236489289"/>
      <w:bookmarkStart w:id="29" w:name="_Toc236489368"/>
      <w:r w:rsidRPr="009E5F8A">
        <w:rPr>
          <w:lang w:val="fr-FR"/>
        </w:rPr>
        <w:t>4.3 Objectifs énergétiques et climatiques officiels</w:t>
      </w:r>
      <w:bookmarkEnd w:id="28"/>
      <w:bookmarkEnd w:id="29"/>
    </w:p>
    <w:p w14:paraId="77582CE3" w14:textId="77777777" w:rsidR="00180671" w:rsidRPr="009E5F8A" w:rsidRDefault="00000000" w:rsidP="008C068E">
      <w:pPr>
        <w:pStyle w:val="ListParagraph"/>
        <w:numPr>
          <w:ilvl w:val="0"/>
          <w:numId w:val="2"/>
        </w:numPr>
        <w:rPr>
          <w:lang w:val="fr-FR"/>
        </w:rPr>
      </w:pPr>
      <w:r w:rsidRPr="009E5F8A">
        <w:rPr>
          <w:lang w:val="fr-FR"/>
        </w:rPr>
        <w:t>100 % des besoins énergétiques de l’IKN couverts par des installations renouvelables (hydroélectricité, solaire rooftop/floating/fermes, biomasse, potentiel hydrogène vert).</w:t>
      </w:r>
    </w:p>
    <w:p w14:paraId="0CBEFBA7" w14:textId="77777777" w:rsidR="00180671" w:rsidRPr="009E5F8A" w:rsidRDefault="00000000" w:rsidP="008C068E">
      <w:pPr>
        <w:pStyle w:val="ListParagraph"/>
        <w:numPr>
          <w:ilvl w:val="0"/>
          <w:numId w:val="2"/>
        </w:numPr>
        <w:rPr>
          <w:lang w:val="fr-FR"/>
        </w:rPr>
      </w:pPr>
      <w:r w:rsidRPr="009E5F8A">
        <w:rPr>
          <w:lang w:val="fr-FR"/>
        </w:rPr>
        <w:t>Amélioration de 60 % de l’efficacité énergétique des nouveaux bâtiments publics d’ici 2045.</w:t>
      </w:r>
    </w:p>
    <w:p w14:paraId="15C8DA76" w14:textId="77777777" w:rsidR="00180671" w:rsidRPr="009E5F8A" w:rsidRDefault="00000000" w:rsidP="008C068E">
      <w:pPr>
        <w:pStyle w:val="ListParagraph"/>
        <w:numPr>
          <w:ilvl w:val="0"/>
          <w:numId w:val="2"/>
        </w:numPr>
        <w:rPr>
          <w:lang w:val="fr-FR"/>
        </w:rPr>
      </w:pPr>
      <w:r w:rsidRPr="009E5F8A">
        <w:rPr>
          <w:lang w:val="fr-FR"/>
        </w:rPr>
        <w:t>Net Zero Emissions à l’échelle de l’IKN d’ici 2045 (stratégie Net Zero publiée, collaboration ADB/Australie).</w:t>
      </w:r>
    </w:p>
    <w:p w14:paraId="55719B76" w14:textId="77777777" w:rsidR="00180671" w:rsidRPr="009E5F8A" w:rsidRDefault="00000000" w:rsidP="008C068E">
      <w:pPr>
        <w:pStyle w:val="ListParagraph"/>
        <w:numPr>
          <w:ilvl w:val="0"/>
          <w:numId w:val="2"/>
        </w:numPr>
        <w:spacing w:after="100"/>
        <w:rPr>
          <w:lang w:val="fr-FR"/>
        </w:rPr>
      </w:pPr>
      <w:r w:rsidRPr="009E5F8A">
        <w:rPr>
          <w:lang w:val="fr-FR"/>
        </w:rPr>
        <w:t>60 % de recyclage des déchets solides d’ici 2045.</w:t>
      </w:r>
    </w:p>
    <w:p w14:paraId="0265D95C" w14:textId="77777777" w:rsidR="00180671" w:rsidRPr="009E5F8A" w:rsidRDefault="00000000" w:rsidP="008C068E">
      <w:pPr>
        <w:spacing w:after="120"/>
        <w:jc w:val="both"/>
        <w:rPr>
          <w:lang w:val="fr-FR"/>
        </w:rPr>
      </w:pPr>
      <w:r w:rsidRPr="009E5F8A">
        <w:rPr>
          <w:lang w:val="fr-FR"/>
        </w:rPr>
        <w:t>Des centrales solaires (PLTS) sont déjà opérationnelles (dizaines de MW). Le potentiel hydroélectrique de Kalimantan (dont le projet Kayan) est mobilisé pour alimenter la région, y compris Nusantara.</w:t>
      </w:r>
    </w:p>
    <w:p w14:paraId="18504995" w14:textId="77777777" w:rsidR="00180671" w:rsidRPr="009E5F8A" w:rsidRDefault="00000000" w:rsidP="008C068E">
      <w:pPr>
        <w:pStyle w:val="Heading2"/>
        <w:rPr>
          <w:lang w:val="fr-FR"/>
        </w:rPr>
      </w:pPr>
      <w:bookmarkStart w:id="30" w:name="_Toc236489290"/>
      <w:bookmarkStart w:id="31" w:name="_Toc236489369"/>
      <w:r w:rsidRPr="009E5F8A">
        <w:rPr>
          <w:lang w:val="fr-FR"/>
        </w:rPr>
        <w:t>5. Comment Nusantara résout les défis de Jakarta</w:t>
      </w:r>
      <w:bookmarkEnd w:id="30"/>
      <w:bookmarkEnd w:id="31"/>
    </w:p>
    <w:p w14:paraId="5B23A495" w14:textId="77777777" w:rsidR="00180671" w:rsidRPr="009E5F8A" w:rsidRDefault="00000000" w:rsidP="008C068E">
      <w:pPr>
        <w:spacing w:after="100"/>
        <w:jc w:val="both"/>
        <w:rPr>
          <w:lang w:val="fr-FR"/>
        </w:rPr>
      </w:pPr>
      <w:r w:rsidRPr="009E5F8A">
        <w:rPr>
          <w:lang w:val="fr-FR"/>
        </w:rPr>
        <w:t>Le sol de Kalimantan Est est géologiquement plus stable (pas de plaine deltaïque alluviale compressible ni d’extraction massive d’eau souterraine historique). Le risque de subsidence structurelle est donc radicalement plus faible.</w:t>
      </w:r>
    </w:p>
    <w:p w14:paraId="016DD59A" w14:textId="77777777" w:rsidR="00180671" w:rsidRPr="009E5F8A" w:rsidRDefault="00000000" w:rsidP="008C068E">
      <w:pPr>
        <w:spacing w:after="100"/>
        <w:jc w:val="both"/>
        <w:rPr>
          <w:lang w:val="fr-FR"/>
        </w:rPr>
      </w:pPr>
      <w:r w:rsidRPr="009E5F8A">
        <w:rPr>
          <w:lang w:val="fr-FR"/>
        </w:rPr>
        <w:t>Le concept de sponge city et les 75 %+ d’espaces verts réduisent drastiquement le ruissellement et les inondations urbaines, tout en limitant l’îlot de chaleur. La densité est planifiée et contrôlée dès le départ, contrairement à Jakarta qui s’est développée de manière organique et chaotique.</w:t>
      </w:r>
    </w:p>
    <w:p w14:paraId="6DA836E1" w14:textId="77777777" w:rsidR="00180671" w:rsidRPr="009E5F8A" w:rsidRDefault="00000000" w:rsidP="008C068E">
      <w:pPr>
        <w:spacing w:after="100"/>
        <w:jc w:val="both"/>
        <w:rPr>
          <w:lang w:val="fr-FR"/>
        </w:rPr>
      </w:pPr>
      <w:r w:rsidRPr="009E5F8A">
        <w:rPr>
          <w:lang w:val="fr-FR"/>
        </w:rPr>
        <w:t>Le transport est conçu autour des modes publics, de la marche, du vélo et des véhicules électriques, ce qui attaque à la racine la congestion et la pollution atmosphérique. L’indépendance énergétique via 100 % renouvelables locales élimine la dépendance aux imports fossiles qui caractérise Singapour.</w:t>
      </w:r>
    </w:p>
    <w:p w14:paraId="694E4FF2" w14:textId="77777777" w:rsidR="00180671" w:rsidRPr="009E5F8A" w:rsidRDefault="00000000" w:rsidP="008C068E">
      <w:pPr>
        <w:spacing w:after="120"/>
        <w:jc w:val="both"/>
        <w:rPr>
          <w:lang w:val="fr-FR"/>
        </w:rPr>
      </w:pPr>
      <w:r w:rsidRPr="009E5F8A">
        <w:rPr>
          <w:lang w:val="fr-FR"/>
        </w:rPr>
        <w:lastRenderedPageBreak/>
        <w:t>Enfin, l’Autorité IKN a rendu obligatoire l’usage de systèmes de District Cooling (DCS / Cluster Cooling Systems) pour tous les complexes gouvernementaux (Palais présidentiel, ministères, etc.). Ces systèmes centralisés sont nettement plus efficaces que des milliers de climatiseurs individuels et rejettent la chaleur de manière contrôlée, loin des rues piétonnes, cassant ainsi la boucle de rétroaction UHI-climatisation observée à Singapour.</w:t>
      </w:r>
    </w:p>
    <w:p w14:paraId="7C5DE608" w14:textId="77777777" w:rsidR="00180671" w:rsidRPr="009E5F8A" w:rsidRDefault="00000000" w:rsidP="008C068E">
      <w:pPr>
        <w:pStyle w:val="Heading2"/>
        <w:rPr>
          <w:lang w:val="fr-FR"/>
        </w:rPr>
      </w:pPr>
      <w:bookmarkStart w:id="32" w:name="_Toc236489291"/>
      <w:bookmarkStart w:id="33" w:name="_Toc236489370"/>
      <w:r w:rsidRPr="009E5F8A">
        <w:rPr>
          <w:lang w:val="fr-FR"/>
        </w:rPr>
        <w:t>6. Options technologiques avancées : SWAC et nucléaire</w:t>
      </w:r>
      <w:bookmarkEnd w:id="32"/>
      <w:bookmarkEnd w:id="33"/>
    </w:p>
    <w:p w14:paraId="394EA90F" w14:textId="77777777" w:rsidR="00180671" w:rsidRPr="009E5F8A" w:rsidRDefault="00000000" w:rsidP="008C068E">
      <w:pPr>
        <w:pStyle w:val="Heading3"/>
        <w:rPr>
          <w:lang w:val="fr-FR"/>
        </w:rPr>
      </w:pPr>
      <w:bookmarkStart w:id="34" w:name="_Toc236489292"/>
      <w:bookmarkStart w:id="35" w:name="_Toc236489371"/>
      <w:r w:rsidRPr="009E5F8A">
        <w:rPr>
          <w:lang w:val="fr-FR"/>
        </w:rPr>
        <w:t>6.1 District Cooling System (déjà engagé) et potentiel SWAC</w:t>
      </w:r>
      <w:bookmarkEnd w:id="34"/>
      <w:bookmarkEnd w:id="35"/>
    </w:p>
    <w:p w14:paraId="19B86A5C" w14:textId="77777777" w:rsidR="00180671" w:rsidRPr="009E5F8A" w:rsidRDefault="00000000" w:rsidP="008C068E">
      <w:pPr>
        <w:spacing w:after="100"/>
        <w:jc w:val="both"/>
        <w:rPr>
          <w:lang w:val="fr-FR"/>
        </w:rPr>
      </w:pPr>
      <w:r w:rsidRPr="009E5F8A">
        <w:rPr>
          <w:lang w:val="fr-FR"/>
        </w:rPr>
        <w:t>Le District Cooling System est déjà une réalité opérationnelle et réglementaire pour les bâtiments publics de l’IKN. Il réduit la consommation électrique de froid et concentre les rejets thermiques. Une évolution possible à moyen terme est l’intégration de Seawater Air Conditioning (SWAC).</w:t>
      </w:r>
    </w:p>
    <w:p w14:paraId="52D510F4" w14:textId="77777777" w:rsidR="00180671" w:rsidRPr="009E5F8A" w:rsidRDefault="00000000" w:rsidP="008C068E">
      <w:pPr>
        <w:spacing w:after="120"/>
        <w:jc w:val="both"/>
        <w:rPr>
          <w:lang w:val="fr-FR"/>
        </w:rPr>
      </w:pPr>
      <w:r w:rsidRPr="009E5F8A">
        <w:rPr>
          <w:lang w:val="fr-FR"/>
        </w:rPr>
        <w:t>Le SWAC utilise de l’eau de mer profonde (typiquement 4–7 °C à 700–1000 m de profondeur) comme source froide. Le coefficient de performance (COP) peut atteindre 10 à plus de 100, contre 3–4 pour un climatiseur classique. Avantages majeurs : quasi-absence de rejet de chaleur dans l’atmosphère urbaine (rupture de la boucle UHI), économie d’énergie massive sur le poste froid (souvent 80–90 %), possibilité de couplage avec le dessalement. Des projets opérationnels existent (Polynésie française, Hawaii, Caraïbes). Aucun projet SWAC officiel n’est encore annoncé pour l’IKN, mais la bathymétrie du détroit de Makassar et de la mer de Célèbes doit être évaluée pour déterminer la distance et le coût d’un intake. Un hybride DCS + SWAC côtier reste techniquement envisageable.</w:t>
      </w:r>
    </w:p>
    <w:p w14:paraId="52F8500F" w14:textId="77777777" w:rsidR="00180671" w:rsidRPr="009E5F8A" w:rsidRDefault="00000000" w:rsidP="008C068E">
      <w:pPr>
        <w:pStyle w:val="Heading3"/>
        <w:rPr>
          <w:lang w:val="fr-FR"/>
        </w:rPr>
      </w:pPr>
      <w:bookmarkStart w:id="36" w:name="_Toc236489293"/>
      <w:bookmarkStart w:id="37" w:name="_Toc236489372"/>
      <w:r w:rsidRPr="009E5F8A">
        <w:rPr>
          <w:lang w:val="fr-FR"/>
        </w:rPr>
        <w:t>6.2 Nucléaire : SMR, thorium et options flottantes / îles</w:t>
      </w:r>
      <w:bookmarkEnd w:id="36"/>
      <w:bookmarkEnd w:id="37"/>
    </w:p>
    <w:p w14:paraId="1B242D1D" w14:textId="77777777" w:rsidR="00180671" w:rsidRPr="009E5F8A" w:rsidRDefault="00000000" w:rsidP="008C068E">
      <w:pPr>
        <w:spacing w:after="100"/>
        <w:jc w:val="both"/>
        <w:rPr>
          <w:lang w:val="fr-FR"/>
        </w:rPr>
      </w:pPr>
      <w:r w:rsidRPr="009E5F8A">
        <w:rPr>
          <w:lang w:val="fr-FR"/>
        </w:rPr>
        <w:t>Le masterplan officiel de l’IKN ne prévoit pas de nucléaire (priorité absolue aux renouvelables). Toutefois, l’Indonésie a accéléré son programme nucléaire national en 2025–2026. Le RUPTL 2025–2034 de PLN inclut pour la première fois du nucléaire : 250 MWe à Sumatra-Bangka en 2032 et 250 MWe à Kalimantan en 2033. Objectif national plus large : 0,4 % du mix en 2032, montant jusqu’à 12,1 % en 2060.</w:t>
      </w:r>
    </w:p>
    <w:p w14:paraId="55E366F5" w14:textId="77777777" w:rsidR="00180671" w:rsidRPr="009E5F8A" w:rsidRDefault="00000000" w:rsidP="008C068E">
      <w:pPr>
        <w:spacing w:after="80"/>
        <w:rPr>
          <w:lang w:val="fr-FR"/>
        </w:rPr>
      </w:pPr>
      <w:r w:rsidRPr="009E5F8A">
        <w:rPr>
          <w:lang w:val="fr-FR"/>
        </w:rPr>
        <w:t>Technologies avancées en cours :</w:t>
      </w:r>
    </w:p>
    <w:p w14:paraId="0FF1B267" w14:textId="77777777" w:rsidR="00180671" w:rsidRPr="009E5F8A" w:rsidRDefault="00000000" w:rsidP="008C068E">
      <w:pPr>
        <w:pStyle w:val="ListParagraph"/>
        <w:numPr>
          <w:ilvl w:val="0"/>
          <w:numId w:val="2"/>
        </w:numPr>
        <w:rPr>
          <w:lang w:val="fr-FR"/>
        </w:rPr>
      </w:pPr>
      <w:r w:rsidRPr="009E5F8A">
        <w:rPr>
          <w:b/>
          <w:bCs/>
          <w:lang w:val="fr-FR"/>
        </w:rPr>
        <w:t>ThorCon (TMSR – molten salt reactor au thorium)</w:t>
      </w:r>
      <w:r w:rsidRPr="009E5F8A">
        <w:rPr>
          <w:lang w:val="fr-FR"/>
        </w:rPr>
        <w:t xml:space="preserve"> : 500 MWe (deux modules) prévu sur l’île de Kelasa (Bangka Belitung). Évaluation de site approuvée par BAPETEN en 2025. Construction possible dès 2027, pleine puissance vers 2031. Technologie à basse pression, sûreté inhérente, cycle thorium offrant une meilleure résistance à la prolifération que le cycle uranium-plutonium classique.</w:t>
      </w:r>
    </w:p>
    <w:p w14:paraId="4655D463" w14:textId="77777777" w:rsidR="00180671" w:rsidRPr="009E5F8A" w:rsidRDefault="00000000" w:rsidP="008C068E">
      <w:pPr>
        <w:pStyle w:val="ListParagraph"/>
        <w:numPr>
          <w:ilvl w:val="0"/>
          <w:numId w:val="2"/>
        </w:numPr>
        <w:spacing w:after="100"/>
        <w:rPr>
          <w:lang w:val="fr-FR"/>
        </w:rPr>
      </w:pPr>
      <w:r w:rsidRPr="009E5F8A">
        <w:rPr>
          <w:b/>
          <w:bCs/>
          <w:lang w:val="fr-FR"/>
        </w:rPr>
        <w:t>SMR et floating NPP</w:t>
      </w:r>
      <w:r w:rsidRPr="009E5F8A">
        <w:rPr>
          <w:lang w:val="fr-FR"/>
        </w:rPr>
        <w:t xml:space="preserve"> : Rosatom propose des barges (2 × 110 MWe RITM) pour Kalimantan Ouest (horizon 2030–2031) et des SMR terrestres. Copenhagen Atomics (thorium MSR) a un MoU pour un site à Bontang (Kalimantan Est). Des HTGR (High Temperature Gas-cooled Reactor) sont aussi étudiés avec des partenaires chinois et japonais.</w:t>
      </w:r>
    </w:p>
    <w:p w14:paraId="65C1B1EE" w14:textId="77777777" w:rsidR="00180671" w:rsidRPr="009E5F8A" w:rsidRDefault="00000000" w:rsidP="008C068E">
      <w:pPr>
        <w:spacing w:after="120"/>
        <w:jc w:val="both"/>
        <w:rPr>
          <w:lang w:val="fr-FR"/>
        </w:rPr>
      </w:pPr>
      <w:r w:rsidRPr="009E5F8A">
        <w:rPr>
          <w:lang w:val="fr-FR"/>
        </w:rPr>
        <w:t>Les barges et modules construits en chantier naval constituent de facto des « îles artificielles mobiles ». Elles permettent d’alimenter des zones isolées ou de fournir un baseload stable complémentaire aux renouvelables intermittents, renforçant l’indépendance énergétique nationale sans les contraintes d’emprise au sol d’une centrale classique.</w:t>
      </w:r>
    </w:p>
    <w:p w14:paraId="52D3DABD" w14:textId="77777777" w:rsidR="00180671" w:rsidRPr="009E5F8A" w:rsidRDefault="00000000" w:rsidP="008C068E">
      <w:pPr>
        <w:pStyle w:val="Heading3"/>
        <w:rPr>
          <w:lang w:val="fr-FR"/>
        </w:rPr>
      </w:pPr>
      <w:bookmarkStart w:id="38" w:name="_Toc236489294"/>
      <w:bookmarkStart w:id="39" w:name="_Toc236489373"/>
      <w:r w:rsidRPr="009E5F8A">
        <w:rPr>
          <w:lang w:val="fr-FR"/>
        </w:rPr>
        <w:t>6.3 Non-prolifération et cadre international</w:t>
      </w:r>
      <w:bookmarkEnd w:id="38"/>
      <w:bookmarkEnd w:id="39"/>
    </w:p>
    <w:p w14:paraId="247B785A" w14:textId="77777777" w:rsidR="00180671" w:rsidRPr="009E5F8A" w:rsidRDefault="00000000" w:rsidP="008C068E">
      <w:pPr>
        <w:spacing w:after="120"/>
        <w:jc w:val="both"/>
        <w:rPr>
          <w:lang w:val="fr-FR"/>
        </w:rPr>
      </w:pPr>
      <w:r w:rsidRPr="009E5F8A">
        <w:rPr>
          <w:lang w:val="fr-FR"/>
        </w:rPr>
        <w:t>L’Indonésie est partie au Traité de non-prolifération (NPT). L’accord de garanties complètes avec l’AIEA est en vigueur depuis 1980, le Protocole additionnel depuis 1999. Tout le HEU non irradié a été dilué en 2016. BAPETEN est l’autorité de régulation nucléaire. Les projets SMR et thorium doivent respecter les normes de sûreté, de sécurité et de garanties de l’AIEA. Le cycle thorium présente des avantages intrinsèques de résistance à la prolifération (moins de plutonium produit, signatures isotopiques différentes), sous réserve de l’application de safeguards adaptés. Les contrats internationaux (Chine, Russie, États-Unis, Danemark, etc.) intègrent des clauses de non-prolifération et de transfert technologique contrôlé.</w:t>
      </w:r>
    </w:p>
    <w:p w14:paraId="2FC4D98E" w14:textId="77777777" w:rsidR="00180671" w:rsidRPr="009E5F8A" w:rsidRDefault="00000000" w:rsidP="008C068E">
      <w:pPr>
        <w:pStyle w:val="Heading2"/>
        <w:rPr>
          <w:lang w:val="fr-FR"/>
        </w:rPr>
      </w:pPr>
      <w:bookmarkStart w:id="40" w:name="_Toc236489295"/>
      <w:bookmarkStart w:id="41" w:name="_Toc236489374"/>
      <w:r w:rsidRPr="009E5F8A">
        <w:rPr>
          <w:lang w:val="fr-FR"/>
        </w:rPr>
        <w:t>7. Synthèse et perspectives</w:t>
      </w:r>
      <w:bookmarkEnd w:id="40"/>
      <w:bookmarkEnd w:id="41"/>
    </w:p>
    <w:p w14:paraId="2DDAF3A7" w14:textId="77777777" w:rsidR="00180671" w:rsidRPr="009E5F8A" w:rsidRDefault="00000000" w:rsidP="008C068E">
      <w:pPr>
        <w:spacing w:after="100"/>
        <w:jc w:val="both"/>
        <w:rPr>
          <w:lang w:val="fr-FR"/>
        </w:rPr>
      </w:pPr>
      <w:r w:rsidRPr="009E5F8A">
        <w:rPr>
          <w:lang w:val="fr-FR"/>
        </w:rPr>
        <w:t>Jakarta concentre des défis techniques extrêmes – subsidence, inondations, congestion, pollution, UHI et stress énergétique/hydrique – qui rendent l’adaptation purement locale de plus en plus coûteuse et limitée. Nusantara, conçue dès l’origine comme forêt-ville, sponge city et smart city, avec 100 % d’énergie renouvelable, 75 %+ d’espaces verts, District Cooling obligatoire pour les bâtiments publics et une densité contrôlée, adresse structurellement la plupart de ces problèmes.</w:t>
      </w:r>
    </w:p>
    <w:p w14:paraId="43C22A0E" w14:textId="77777777" w:rsidR="00180671" w:rsidRPr="009E5F8A" w:rsidRDefault="00000000" w:rsidP="008C068E">
      <w:pPr>
        <w:spacing w:after="100"/>
        <w:jc w:val="both"/>
        <w:rPr>
          <w:lang w:val="fr-FR"/>
        </w:rPr>
      </w:pPr>
      <w:r w:rsidRPr="009E5F8A">
        <w:rPr>
          <w:lang w:val="fr-FR"/>
        </w:rPr>
        <w:t xml:space="preserve">Les pièges de Singapour (dépendance énergétique et amplification de l’UHI par les climatisations individuelles) sont évités par le choix d’une indépendance énergétique renouvelable locale et par le </w:t>
      </w:r>
      <w:r w:rsidRPr="009E5F8A">
        <w:rPr>
          <w:lang w:val="fr-FR"/>
        </w:rPr>
        <w:lastRenderedPageBreak/>
        <w:t>déploiement de réseaux de froid centralisés. Le SWAC reste une option d’évolution crédible si la bathymétrie le permet. Le nucléaire SMR/thorium (y compris flottant) n’est pas dans le masterplan IKN mais constitue une ressource nationale potentielle de baseload bas-carbone pour Kalimantan et le reste de l’archipel, dans le strict respect des engagements de non-prolifération.</w:t>
      </w:r>
    </w:p>
    <w:p w14:paraId="0AD43381" w14:textId="77777777" w:rsidR="00180671" w:rsidRPr="009E5F8A" w:rsidRDefault="00000000" w:rsidP="008C068E">
      <w:pPr>
        <w:spacing w:after="120"/>
        <w:jc w:val="both"/>
        <w:rPr>
          <w:lang w:val="fr-FR"/>
        </w:rPr>
      </w:pPr>
      <w:r w:rsidRPr="009E5F8A">
        <w:rPr>
          <w:lang w:val="fr-FR"/>
        </w:rPr>
        <w:t>Le succès de Nusantara dépendra de la continuité politique et budgétaire (ajustements observés en 2025–2026), de la qualité d’exécution des infrastructures vertes et intelligentes, et de l’intégration réussie des communautés locales (dont les populations Dayak). Sur le plan purement technique, le design actuel offre une base solide pour ne pas reproduire les vulnérabilités de Jakarta ni les dépendances de Singapour.</w:t>
      </w:r>
    </w:p>
    <w:p w14:paraId="09C89C3B" w14:textId="77777777" w:rsidR="00180671" w:rsidRPr="009E5F8A" w:rsidRDefault="00000000" w:rsidP="008C068E">
      <w:pPr>
        <w:spacing w:before="120" w:after="120"/>
        <w:rPr>
          <w:lang w:val="fr-FR"/>
        </w:rPr>
      </w:pPr>
      <w:r w:rsidRPr="009E5F8A">
        <w:rPr>
          <w:b/>
          <w:bCs/>
          <w:lang w:val="fr-FR"/>
        </w:rPr>
        <w:t xml:space="preserve">Statut du document : COMPLET. </w:t>
      </w:r>
      <w:r w:rsidRPr="009E5F8A">
        <w:rPr>
          <w:lang w:val="fr-FR"/>
        </w:rPr>
        <w:t>Aucune section n’a été tronquée. Toutes les informations factuelles disponibles à la date du 30 juillet 2026 ont été intégrées. Version Word fournie pour permettre les corrections de la direction humaine.</w:t>
      </w:r>
    </w:p>
    <w:p w14:paraId="701E3808" w14:textId="203032A2" w:rsidR="00180671" w:rsidRPr="009E5F8A" w:rsidRDefault="00180671" w:rsidP="008C068E">
      <w:pPr>
        <w:rPr>
          <w:lang w:val="fr-FR"/>
        </w:rPr>
      </w:pPr>
    </w:p>
    <w:p w14:paraId="52587860" w14:textId="77777777" w:rsidR="00180671" w:rsidRPr="009E5F8A" w:rsidRDefault="00000000" w:rsidP="008C068E">
      <w:pPr>
        <w:pStyle w:val="Heading2"/>
        <w:rPr>
          <w:lang w:val="fr-FR"/>
        </w:rPr>
      </w:pPr>
      <w:bookmarkStart w:id="42" w:name="_Toc236489296"/>
      <w:bookmarkStart w:id="43" w:name="_Toc236489375"/>
      <w:r w:rsidRPr="009E5F8A">
        <w:rPr>
          <w:lang w:val="fr-FR"/>
        </w:rPr>
        <w:t>8. Références factuelles (URLs)</w:t>
      </w:r>
      <w:bookmarkEnd w:id="42"/>
      <w:bookmarkEnd w:id="43"/>
    </w:p>
    <w:p w14:paraId="270EE341" w14:textId="77777777" w:rsidR="00180671" w:rsidRPr="009E5F8A" w:rsidRDefault="00000000" w:rsidP="008C068E">
      <w:pPr>
        <w:spacing w:after="120"/>
        <w:rPr>
          <w:lang w:val="fr-FR"/>
        </w:rPr>
      </w:pPr>
      <w:r w:rsidRPr="009E5F8A">
        <w:rPr>
          <w:lang w:val="fr-FR"/>
        </w:rPr>
        <w:t>Les sources ci-dessous ont été consultées ou citées pour construire ce rapport. Elles sont listées par thématique pour faciliter la vérification.</w:t>
      </w:r>
    </w:p>
    <w:p w14:paraId="0130E911" w14:textId="77777777" w:rsidR="00180671" w:rsidRPr="009E5F8A" w:rsidRDefault="00000000" w:rsidP="008C068E">
      <w:pPr>
        <w:pStyle w:val="Heading3"/>
        <w:rPr>
          <w:lang w:val="fr-FR"/>
        </w:rPr>
      </w:pPr>
      <w:bookmarkStart w:id="44" w:name="_Toc236489297"/>
      <w:bookmarkStart w:id="45" w:name="_Toc236489376"/>
      <w:r w:rsidRPr="009E5F8A">
        <w:rPr>
          <w:lang w:val="fr-FR"/>
        </w:rPr>
        <w:t>Sources officielles Nusantara / IKN</w:t>
      </w:r>
      <w:bookmarkEnd w:id="44"/>
      <w:bookmarkEnd w:id="45"/>
    </w:p>
    <w:p w14:paraId="4C69EA58" w14:textId="7812A5BD" w:rsidR="00180671" w:rsidRPr="009E5F8A" w:rsidRDefault="00000000" w:rsidP="008C068E">
      <w:pPr>
        <w:spacing w:after="40"/>
        <w:rPr>
          <w:lang w:val="fr-FR"/>
        </w:rPr>
      </w:pPr>
      <w:r w:rsidRPr="009E5F8A">
        <w:rPr>
          <w:sz w:val="18"/>
          <w:szCs w:val="18"/>
          <w:lang w:val="fr-FR"/>
        </w:rPr>
        <w:t xml:space="preserve">• Site officiel de l’Autorité IKN : </w:t>
      </w:r>
      <w:hyperlink r:id="rId7" w:history="1">
        <w:r w:rsidR="00C11495" w:rsidRPr="009E5F8A">
          <w:rPr>
            <w:rStyle w:val="Hyperlink"/>
            <w:sz w:val="18"/>
            <w:szCs w:val="18"/>
            <w:lang w:val="fr-FR"/>
          </w:rPr>
          <w:t>https://ikn.go.id/en</w:t>
        </w:r>
      </w:hyperlink>
      <w:r w:rsidR="00C11495" w:rsidRPr="009E5F8A">
        <w:rPr>
          <w:sz w:val="18"/>
          <w:szCs w:val="18"/>
          <w:lang w:val="fr-FR"/>
        </w:rPr>
        <w:t xml:space="preserve"> </w:t>
      </w:r>
    </w:p>
    <w:p w14:paraId="16502284" w14:textId="4191DE4B" w:rsidR="00180671" w:rsidRPr="009E5F8A" w:rsidRDefault="00000000" w:rsidP="008C068E">
      <w:pPr>
        <w:spacing w:after="40"/>
        <w:rPr>
          <w:lang w:val="fr-FR"/>
        </w:rPr>
      </w:pPr>
      <w:r w:rsidRPr="009E5F8A">
        <w:rPr>
          <w:sz w:val="18"/>
          <w:szCs w:val="18"/>
          <w:lang w:val="fr-FR"/>
        </w:rPr>
        <w:t xml:space="preserve">• Smart Building Guideline Nusantara : </w:t>
      </w:r>
      <w:hyperlink r:id="rId8" w:history="1">
        <w:r w:rsidR="00C11495" w:rsidRPr="009E5F8A">
          <w:rPr>
            <w:rStyle w:val="Hyperlink"/>
            <w:sz w:val="18"/>
            <w:szCs w:val="18"/>
            <w:lang w:val="fr-FR"/>
          </w:rPr>
          <w:t>https://ikn.go.id/storage/nusantaras-smart-building-guideline.pdf</w:t>
        </w:r>
      </w:hyperlink>
      <w:r w:rsidR="00C11495" w:rsidRPr="009E5F8A">
        <w:rPr>
          <w:sz w:val="18"/>
          <w:szCs w:val="18"/>
          <w:lang w:val="fr-FR"/>
        </w:rPr>
        <w:t xml:space="preserve"> </w:t>
      </w:r>
    </w:p>
    <w:p w14:paraId="1B48DA27" w14:textId="77777777" w:rsidR="00180671" w:rsidRPr="009E5F8A" w:rsidRDefault="00000000" w:rsidP="008C068E">
      <w:pPr>
        <w:spacing w:after="40"/>
        <w:rPr>
          <w:lang w:val="fr-FR"/>
        </w:rPr>
      </w:pPr>
      <w:r w:rsidRPr="009E5F8A">
        <w:rPr>
          <w:sz w:val="18"/>
          <w:szCs w:val="18"/>
          <w:lang w:val="fr-FR"/>
        </w:rPr>
        <w:t>• Loi n° 3/2022 et Règlement présidentiel n° 63/2022 (Master Plan IKN)</w:t>
      </w:r>
    </w:p>
    <w:p w14:paraId="54E5C67C" w14:textId="5377145F" w:rsidR="00180671" w:rsidRPr="009E5F8A" w:rsidRDefault="00000000" w:rsidP="008C068E">
      <w:pPr>
        <w:spacing w:after="80"/>
        <w:rPr>
          <w:lang w:val="fr-FR"/>
        </w:rPr>
      </w:pPr>
      <w:r w:rsidRPr="009E5F8A">
        <w:rPr>
          <w:sz w:val="18"/>
          <w:szCs w:val="18"/>
          <w:lang w:val="fr-FR"/>
        </w:rPr>
        <w:t xml:space="preserve">• UNDP – Imagining Nusantara Capital City : </w:t>
      </w:r>
      <w:hyperlink r:id="rId9" w:history="1">
        <w:r w:rsidR="00C11495" w:rsidRPr="009E5F8A">
          <w:rPr>
            <w:rStyle w:val="Hyperlink"/>
            <w:sz w:val="18"/>
            <w:szCs w:val="18"/>
            <w:lang w:val="fr-FR"/>
          </w:rPr>
          <w:t>https://www.undp.org/indonesia/publications/imagining-nusantara-capital-city-ikn</w:t>
        </w:r>
      </w:hyperlink>
      <w:r w:rsidR="00C11495" w:rsidRPr="009E5F8A">
        <w:rPr>
          <w:sz w:val="18"/>
          <w:szCs w:val="18"/>
          <w:lang w:val="fr-FR"/>
        </w:rPr>
        <w:t xml:space="preserve"> </w:t>
      </w:r>
    </w:p>
    <w:p w14:paraId="0DFC655B" w14:textId="77777777" w:rsidR="00180671" w:rsidRPr="009E5F8A" w:rsidRDefault="00000000" w:rsidP="008C068E">
      <w:pPr>
        <w:pStyle w:val="Heading3"/>
        <w:rPr>
          <w:lang w:val="fr-FR"/>
        </w:rPr>
      </w:pPr>
      <w:bookmarkStart w:id="46" w:name="_Toc236489298"/>
      <w:bookmarkStart w:id="47" w:name="_Toc236489377"/>
      <w:r w:rsidRPr="009E5F8A">
        <w:rPr>
          <w:lang w:val="fr-FR"/>
        </w:rPr>
        <w:t>Énergie et District Cooling IKN</w:t>
      </w:r>
      <w:bookmarkEnd w:id="46"/>
      <w:bookmarkEnd w:id="47"/>
    </w:p>
    <w:p w14:paraId="26C91386" w14:textId="599FE789" w:rsidR="00180671" w:rsidRPr="009E5F8A" w:rsidRDefault="00000000" w:rsidP="008C068E">
      <w:pPr>
        <w:spacing w:after="40"/>
        <w:rPr>
          <w:lang w:val="fr-FR"/>
        </w:rPr>
      </w:pPr>
      <w:r w:rsidRPr="009E5F8A">
        <w:rPr>
          <w:sz w:val="18"/>
          <w:szCs w:val="18"/>
          <w:lang w:val="fr-FR"/>
        </w:rPr>
        <w:t xml:space="preserve">• Powering Nusantara (Columbia SIPA) : </w:t>
      </w:r>
      <w:hyperlink r:id="rId10" w:history="1">
        <w:r w:rsidR="00C11495" w:rsidRPr="009E5F8A">
          <w:rPr>
            <w:rStyle w:val="Hyperlink"/>
            <w:sz w:val="18"/>
            <w:szCs w:val="18"/>
            <w:lang w:val="fr-FR"/>
          </w:rPr>
          <w:t>https://www.sipa.columbia.edu/sites/default/files/2023-10/Powering%20Nusantara%20Report_FinalReport.pdf</w:t>
        </w:r>
      </w:hyperlink>
      <w:r w:rsidR="00C11495" w:rsidRPr="009E5F8A">
        <w:rPr>
          <w:sz w:val="18"/>
          <w:szCs w:val="18"/>
          <w:lang w:val="fr-FR"/>
        </w:rPr>
        <w:t xml:space="preserve"> </w:t>
      </w:r>
    </w:p>
    <w:p w14:paraId="0AFECFC1" w14:textId="31D8764A" w:rsidR="00180671" w:rsidRPr="009E5F8A" w:rsidRDefault="00000000" w:rsidP="008C068E">
      <w:pPr>
        <w:spacing w:after="80"/>
        <w:rPr>
          <w:lang w:val="fr-FR"/>
        </w:rPr>
      </w:pPr>
      <w:r w:rsidRPr="009E5F8A">
        <w:rPr>
          <w:sz w:val="18"/>
          <w:szCs w:val="18"/>
          <w:lang w:val="fr-FR"/>
        </w:rPr>
        <w:t xml:space="preserve">• District Cooling Implementation in Indonesia (DBDH) : </w:t>
      </w:r>
      <w:hyperlink r:id="rId11" w:history="1">
        <w:r w:rsidR="00C11495" w:rsidRPr="009E5F8A">
          <w:rPr>
            <w:rStyle w:val="Hyperlink"/>
            <w:sz w:val="18"/>
            <w:szCs w:val="18"/>
            <w:lang w:val="fr-FR"/>
          </w:rPr>
          <w:t>https://dbdh.org/district-cooling-implementation-in-indonesia-a-gateway-to-collaboration/</w:t>
        </w:r>
      </w:hyperlink>
      <w:r w:rsidR="00C11495" w:rsidRPr="009E5F8A">
        <w:rPr>
          <w:sz w:val="18"/>
          <w:szCs w:val="18"/>
          <w:lang w:val="fr-FR"/>
        </w:rPr>
        <w:t xml:space="preserve"> </w:t>
      </w:r>
    </w:p>
    <w:p w14:paraId="6C74CAF2" w14:textId="77777777" w:rsidR="00180671" w:rsidRPr="009E5F8A" w:rsidRDefault="00000000" w:rsidP="008C068E">
      <w:pPr>
        <w:pStyle w:val="Heading3"/>
        <w:rPr>
          <w:lang w:val="fr-FR"/>
        </w:rPr>
      </w:pPr>
      <w:bookmarkStart w:id="48" w:name="_Toc236489299"/>
      <w:bookmarkStart w:id="49" w:name="_Toc236489378"/>
      <w:r w:rsidRPr="009E5F8A">
        <w:rPr>
          <w:lang w:val="fr-FR"/>
        </w:rPr>
        <w:t>Jakarta – Subsidence, inondations, climat</w:t>
      </w:r>
      <w:bookmarkEnd w:id="48"/>
      <w:bookmarkEnd w:id="49"/>
    </w:p>
    <w:p w14:paraId="579A89B8" w14:textId="7C98E05C" w:rsidR="00180671" w:rsidRPr="009E5F8A" w:rsidRDefault="00000000" w:rsidP="008C068E">
      <w:pPr>
        <w:spacing w:after="40"/>
        <w:rPr>
          <w:lang w:val="fr-FR"/>
        </w:rPr>
      </w:pPr>
      <w:r w:rsidRPr="009E5F8A">
        <w:rPr>
          <w:sz w:val="18"/>
          <w:szCs w:val="18"/>
          <w:lang w:val="fr-FR"/>
        </w:rPr>
        <w:t xml:space="preserve">• Études InSAR et subsidence (Abidin et al.) : </w:t>
      </w:r>
      <w:hyperlink r:id="rId12" w:history="1">
        <w:r w:rsidR="00C11495" w:rsidRPr="009E5F8A">
          <w:rPr>
            <w:rStyle w:val="Hyperlink"/>
            <w:sz w:val="18"/>
            <w:szCs w:val="18"/>
            <w:lang w:val="fr-FR"/>
          </w:rPr>
          <w:t>https://piahs.copernicus.org/articles/372/115/2015/piahs-372-115-2015.pdf</w:t>
        </w:r>
      </w:hyperlink>
      <w:r w:rsidR="00C11495" w:rsidRPr="009E5F8A">
        <w:rPr>
          <w:sz w:val="18"/>
          <w:szCs w:val="18"/>
          <w:lang w:val="fr-FR"/>
        </w:rPr>
        <w:t xml:space="preserve"> </w:t>
      </w:r>
    </w:p>
    <w:p w14:paraId="5EA22F95" w14:textId="3C940E1A" w:rsidR="00180671" w:rsidRPr="009E5F8A" w:rsidRDefault="00000000" w:rsidP="008C068E">
      <w:pPr>
        <w:spacing w:after="40"/>
        <w:rPr>
          <w:lang w:val="fr-FR"/>
        </w:rPr>
      </w:pPr>
      <w:r w:rsidRPr="009E5F8A">
        <w:rPr>
          <w:sz w:val="18"/>
          <w:szCs w:val="18"/>
          <w:lang w:val="fr-FR"/>
        </w:rPr>
        <w:t xml:space="preserve">• JICA / rapports climat et inondations : </w:t>
      </w:r>
      <w:hyperlink r:id="rId13" w:history="1">
        <w:r w:rsidR="00C11495" w:rsidRPr="009E5F8A">
          <w:rPr>
            <w:rStyle w:val="Hyperlink"/>
            <w:sz w:val="18"/>
            <w:szCs w:val="18"/>
            <w:lang w:val="fr-FR"/>
          </w:rPr>
          <w:t>https://openjicareport.jica.go.jp/pdf/12150942.pdf</w:t>
        </w:r>
      </w:hyperlink>
      <w:r w:rsidR="00C11495" w:rsidRPr="009E5F8A">
        <w:rPr>
          <w:sz w:val="18"/>
          <w:szCs w:val="18"/>
          <w:lang w:val="fr-FR"/>
        </w:rPr>
        <w:t xml:space="preserve"> </w:t>
      </w:r>
    </w:p>
    <w:p w14:paraId="0F085BDF" w14:textId="39EEA7CB" w:rsidR="00180671" w:rsidRPr="009E5F8A" w:rsidRDefault="00000000" w:rsidP="008C068E">
      <w:pPr>
        <w:spacing w:after="40"/>
        <w:rPr>
          <w:lang w:val="fr-FR"/>
        </w:rPr>
      </w:pPr>
      <w:r w:rsidRPr="009E5F8A">
        <w:rPr>
          <w:sz w:val="18"/>
          <w:szCs w:val="18"/>
          <w:lang w:val="fr-FR"/>
        </w:rPr>
        <w:t xml:space="preserve">• Earth.org – Rising Sea Levels &amp; Jakarta : </w:t>
      </w:r>
      <w:hyperlink r:id="rId14" w:history="1">
        <w:r w:rsidR="00C11495" w:rsidRPr="009E5F8A">
          <w:rPr>
            <w:rStyle w:val="Hyperlink"/>
            <w:sz w:val="18"/>
            <w:szCs w:val="18"/>
            <w:lang w:val="fr-FR"/>
          </w:rPr>
          <w:t>https://earth.org/deep-dive-rising-sea-levels-force-relocation-of-indonesian-capital/</w:t>
        </w:r>
      </w:hyperlink>
      <w:r w:rsidR="00C11495" w:rsidRPr="009E5F8A">
        <w:rPr>
          <w:sz w:val="18"/>
          <w:szCs w:val="18"/>
          <w:lang w:val="fr-FR"/>
        </w:rPr>
        <w:t xml:space="preserve"> </w:t>
      </w:r>
    </w:p>
    <w:p w14:paraId="4EB92D56" w14:textId="77777777" w:rsidR="00180671" w:rsidRPr="009E5F8A" w:rsidRDefault="00000000" w:rsidP="008C068E">
      <w:pPr>
        <w:spacing w:after="80"/>
        <w:rPr>
          <w:lang w:val="fr-FR"/>
        </w:rPr>
      </w:pPr>
      <w:r w:rsidRPr="009E5F8A">
        <w:rPr>
          <w:sz w:val="18"/>
          <w:szCs w:val="18"/>
          <w:lang w:val="fr-FR"/>
        </w:rPr>
        <w:t>• PBS / reportages 2026 sur l’enfoncement de Jakarta</w:t>
      </w:r>
    </w:p>
    <w:p w14:paraId="310D2658" w14:textId="77777777" w:rsidR="00180671" w:rsidRPr="009E5F8A" w:rsidRDefault="00000000" w:rsidP="008C068E">
      <w:pPr>
        <w:pStyle w:val="Heading3"/>
        <w:rPr>
          <w:lang w:val="fr-FR"/>
        </w:rPr>
      </w:pPr>
      <w:bookmarkStart w:id="50" w:name="_Toc236489300"/>
      <w:bookmarkStart w:id="51" w:name="_Toc236489379"/>
      <w:r w:rsidRPr="009E5F8A">
        <w:rPr>
          <w:lang w:val="fr-FR"/>
        </w:rPr>
        <w:t>Singapour – Énergie et UHI</w:t>
      </w:r>
      <w:bookmarkEnd w:id="50"/>
      <w:bookmarkEnd w:id="51"/>
    </w:p>
    <w:p w14:paraId="6084B93C" w14:textId="77777777" w:rsidR="00180671" w:rsidRPr="009E5F8A" w:rsidRDefault="00000000" w:rsidP="008C068E">
      <w:pPr>
        <w:spacing w:after="40"/>
        <w:rPr>
          <w:lang w:val="fr-FR"/>
        </w:rPr>
      </w:pPr>
      <w:r w:rsidRPr="009E5F8A">
        <w:rPr>
          <w:sz w:val="18"/>
          <w:szCs w:val="18"/>
          <w:lang w:val="fr-FR"/>
        </w:rPr>
        <w:t>• Energy Market Authority Singapore Energy Statistics</w:t>
      </w:r>
    </w:p>
    <w:p w14:paraId="5EC326A2" w14:textId="77777777" w:rsidR="00180671" w:rsidRPr="009E5F8A" w:rsidRDefault="00000000" w:rsidP="008C068E">
      <w:pPr>
        <w:spacing w:after="40"/>
        <w:rPr>
          <w:lang w:val="fr-FR"/>
        </w:rPr>
      </w:pPr>
      <w:r w:rsidRPr="009E5F8A">
        <w:rPr>
          <w:sz w:val="18"/>
          <w:szCs w:val="18"/>
          <w:lang w:val="fr-FR"/>
        </w:rPr>
        <w:t>• Études UHI et rejets AC (Priyadarsini &amp; Wong, NUS ; Salamanca et al.)</w:t>
      </w:r>
    </w:p>
    <w:p w14:paraId="7FAE0E02" w14:textId="77777777" w:rsidR="00180671" w:rsidRPr="009E5F8A" w:rsidRDefault="00000000" w:rsidP="008C068E">
      <w:pPr>
        <w:spacing w:after="80"/>
        <w:rPr>
          <w:lang w:val="fr-FR"/>
        </w:rPr>
      </w:pPr>
      <w:r w:rsidRPr="009E5F8A">
        <w:rPr>
          <w:sz w:val="18"/>
          <w:szCs w:val="18"/>
          <w:lang w:val="fr-FR"/>
        </w:rPr>
        <w:t>• Strategies for Cooling Singapore / AIA et travaux MIT</w:t>
      </w:r>
    </w:p>
    <w:p w14:paraId="535C57EA" w14:textId="77777777" w:rsidR="00180671" w:rsidRPr="009E5F8A" w:rsidRDefault="00000000" w:rsidP="008C068E">
      <w:pPr>
        <w:pStyle w:val="Heading3"/>
        <w:rPr>
          <w:lang w:val="fr-FR"/>
        </w:rPr>
      </w:pPr>
      <w:bookmarkStart w:id="52" w:name="_Toc236489301"/>
      <w:bookmarkStart w:id="53" w:name="_Toc236489380"/>
      <w:r w:rsidRPr="009E5F8A">
        <w:rPr>
          <w:lang w:val="fr-FR"/>
        </w:rPr>
        <w:t>Nucléaire Indonésie</w:t>
      </w:r>
      <w:bookmarkEnd w:id="52"/>
      <w:bookmarkEnd w:id="53"/>
    </w:p>
    <w:p w14:paraId="18A58925" w14:textId="2941C4A5" w:rsidR="00180671" w:rsidRPr="009E5F8A" w:rsidRDefault="00000000" w:rsidP="008C068E">
      <w:pPr>
        <w:spacing w:after="40"/>
        <w:rPr>
          <w:lang w:val="fr-FR"/>
        </w:rPr>
      </w:pPr>
      <w:r w:rsidRPr="009E5F8A">
        <w:rPr>
          <w:sz w:val="18"/>
          <w:szCs w:val="18"/>
          <w:lang w:val="fr-FR"/>
        </w:rPr>
        <w:t xml:space="preserve">• World Nuclear Association – Nuclear Power in Indonesia (mise à jour 2026) : </w:t>
      </w:r>
      <w:hyperlink r:id="rId15" w:history="1">
        <w:r w:rsidR="00C11495" w:rsidRPr="009E5F8A">
          <w:rPr>
            <w:rStyle w:val="Hyperlink"/>
            <w:sz w:val="18"/>
            <w:szCs w:val="18"/>
            <w:lang w:val="fr-FR"/>
          </w:rPr>
          <w:t>https://world-nuclear.org/information-library/country-profiles/countries-g-n/nuclear-power-in-indonesia</w:t>
        </w:r>
      </w:hyperlink>
      <w:r w:rsidR="00C11495" w:rsidRPr="009E5F8A">
        <w:rPr>
          <w:sz w:val="18"/>
          <w:szCs w:val="18"/>
          <w:lang w:val="fr-FR"/>
        </w:rPr>
        <w:t xml:space="preserve"> </w:t>
      </w:r>
    </w:p>
    <w:p w14:paraId="218B21D1" w14:textId="77777777" w:rsidR="00180671" w:rsidRPr="009E5F8A" w:rsidRDefault="00000000" w:rsidP="008C068E">
      <w:pPr>
        <w:spacing w:after="40"/>
        <w:rPr>
          <w:lang w:val="fr-FR"/>
        </w:rPr>
      </w:pPr>
      <w:r w:rsidRPr="009E5F8A">
        <w:rPr>
          <w:sz w:val="18"/>
          <w:szCs w:val="18"/>
          <w:lang w:val="fr-FR"/>
        </w:rPr>
        <w:t>• RUPTL PLN 2025–2034 (inclusion nucléaire)</w:t>
      </w:r>
    </w:p>
    <w:p w14:paraId="719D0C70" w14:textId="77777777" w:rsidR="00180671" w:rsidRPr="009E5F8A" w:rsidRDefault="00000000" w:rsidP="008C068E">
      <w:pPr>
        <w:spacing w:after="40"/>
        <w:rPr>
          <w:lang w:val="fr-FR"/>
        </w:rPr>
      </w:pPr>
      <w:r w:rsidRPr="009E5F8A">
        <w:rPr>
          <w:sz w:val="18"/>
          <w:szCs w:val="18"/>
          <w:lang w:val="fr-FR"/>
        </w:rPr>
        <w:t>• ThorCon / BAPETEN site evaluation Kelasa Island 2025</w:t>
      </w:r>
    </w:p>
    <w:p w14:paraId="30F329C3" w14:textId="77777777" w:rsidR="00180671" w:rsidRPr="009E5F8A" w:rsidRDefault="00000000" w:rsidP="008C068E">
      <w:pPr>
        <w:spacing w:after="80"/>
        <w:rPr>
          <w:lang w:val="fr-FR"/>
        </w:rPr>
      </w:pPr>
      <w:r w:rsidRPr="009E5F8A">
        <w:rPr>
          <w:sz w:val="18"/>
          <w:szCs w:val="18"/>
          <w:lang w:val="fr-FR"/>
        </w:rPr>
        <w:t>• Accords de garanties AIEA (CSA 1980 + Protocole additionnel 1999)</w:t>
      </w:r>
    </w:p>
    <w:p w14:paraId="7B95E817" w14:textId="77777777" w:rsidR="00180671" w:rsidRPr="009E5F8A" w:rsidRDefault="00000000" w:rsidP="008C068E">
      <w:pPr>
        <w:pStyle w:val="Heading3"/>
        <w:rPr>
          <w:lang w:val="fr-FR"/>
        </w:rPr>
      </w:pPr>
      <w:bookmarkStart w:id="54" w:name="_Toc236489302"/>
      <w:bookmarkStart w:id="55" w:name="_Toc236489381"/>
      <w:r w:rsidRPr="009E5F8A">
        <w:rPr>
          <w:lang w:val="fr-FR"/>
        </w:rPr>
        <w:t>SWAC (Seawater Air Conditioning)</w:t>
      </w:r>
      <w:bookmarkEnd w:id="54"/>
      <w:bookmarkEnd w:id="55"/>
    </w:p>
    <w:p w14:paraId="40F5BAC8" w14:textId="77777777" w:rsidR="00180671" w:rsidRPr="009E5F8A" w:rsidRDefault="00000000" w:rsidP="008C068E">
      <w:pPr>
        <w:spacing w:after="40"/>
        <w:rPr>
          <w:lang w:val="fr-FR"/>
        </w:rPr>
      </w:pPr>
      <w:r w:rsidRPr="009E5F8A">
        <w:rPr>
          <w:sz w:val="18"/>
          <w:szCs w:val="18"/>
          <w:lang w:val="fr-FR"/>
        </w:rPr>
        <w:t>• Literature et projets mondiaux (World Bank, NELHA Hawaii, The Brando, etc.)</w:t>
      </w:r>
    </w:p>
    <w:p w14:paraId="2E0B713C" w14:textId="77777777" w:rsidR="00180671" w:rsidRPr="009E5F8A" w:rsidRDefault="00000000" w:rsidP="008C068E">
      <w:pPr>
        <w:spacing w:after="80"/>
        <w:rPr>
          <w:lang w:val="fr-FR"/>
        </w:rPr>
      </w:pPr>
      <w:r w:rsidRPr="009E5F8A">
        <w:rPr>
          <w:sz w:val="18"/>
          <w:szCs w:val="18"/>
          <w:lang w:val="fr-FR"/>
        </w:rPr>
        <w:t>• Articles scientifiques sur l’accessibilité de l’eau de mer profonde pour le SWAC</w:t>
      </w:r>
    </w:p>
    <w:p w14:paraId="0803D7D4" w14:textId="77777777" w:rsidR="00180671" w:rsidRPr="009E5F8A" w:rsidRDefault="00000000" w:rsidP="008C068E">
      <w:pPr>
        <w:pStyle w:val="Heading3"/>
        <w:rPr>
          <w:lang w:val="fr-FR"/>
        </w:rPr>
      </w:pPr>
      <w:bookmarkStart w:id="56" w:name="_Toc236489303"/>
      <w:bookmarkStart w:id="57" w:name="_Toc236489382"/>
      <w:r w:rsidRPr="009E5F8A">
        <w:rPr>
          <w:lang w:val="fr-FR"/>
        </w:rPr>
        <w:t>Autres</w:t>
      </w:r>
      <w:bookmarkEnd w:id="56"/>
      <w:bookmarkEnd w:id="57"/>
    </w:p>
    <w:p w14:paraId="167B8901" w14:textId="77777777" w:rsidR="00180671" w:rsidRPr="009E5F8A" w:rsidRDefault="00000000" w:rsidP="008C068E">
      <w:pPr>
        <w:spacing w:after="40"/>
        <w:rPr>
          <w:lang w:val="fr-FR"/>
        </w:rPr>
      </w:pPr>
      <w:r w:rsidRPr="009E5F8A">
        <w:rPr>
          <w:sz w:val="18"/>
          <w:szCs w:val="18"/>
          <w:lang w:val="fr-FR"/>
        </w:rPr>
        <w:t>• Science Advances / études récentes sur la subsidence à Java (2026)</w:t>
      </w:r>
    </w:p>
    <w:p w14:paraId="1C43AC8E" w14:textId="77777777" w:rsidR="00180671" w:rsidRPr="009E5F8A" w:rsidRDefault="00000000" w:rsidP="008C068E">
      <w:pPr>
        <w:spacing w:after="120"/>
        <w:rPr>
          <w:lang w:val="fr-FR"/>
        </w:rPr>
      </w:pPr>
      <w:r w:rsidRPr="009E5F8A">
        <w:rPr>
          <w:sz w:val="18"/>
          <w:szCs w:val="18"/>
          <w:lang w:val="fr-FR"/>
        </w:rPr>
        <w:t>• Rapports ADB, BRIN, BAPETEN, ESDM</w:t>
      </w:r>
    </w:p>
    <w:p w14:paraId="6B3F781C" w14:textId="77777777" w:rsidR="00180671" w:rsidRPr="009E5F8A" w:rsidRDefault="00000000" w:rsidP="008C068E">
      <w:pPr>
        <w:rPr>
          <w:lang w:val="fr-FR"/>
        </w:rPr>
      </w:pPr>
      <w:r w:rsidRPr="009E5F8A">
        <w:rPr>
          <w:lang w:val="fr-FR"/>
        </w:rPr>
        <w:br w:type="page"/>
      </w:r>
    </w:p>
    <w:p w14:paraId="7CEFB0AC" w14:textId="77777777" w:rsidR="00180671" w:rsidRPr="009E5F8A" w:rsidRDefault="00000000" w:rsidP="008C068E">
      <w:pPr>
        <w:pStyle w:val="Heading2"/>
        <w:rPr>
          <w:lang w:val="fr-FR"/>
        </w:rPr>
      </w:pPr>
      <w:bookmarkStart w:id="58" w:name="_Toc236489304"/>
      <w:bookmarkStart w:id="59" w:name="_Toc236489383"/>
      <w:r w:rsidRPr="009E5F8A">
        <w:rPr>
          <w:lang w:val="fr-FR"/>
        </w:rPr>
        <w:lastRenderedPageBreak/>
        <w:t>9. Index complet</w:t>
      </w:r>
      <w:bookmarkEnd w:id="58"/>
      <w:bookmarkEnd w:id="59"/>
    </w:p>
    <w:p w14:paraId="1259A2E9" w14:textId="77777777" w:rsidR="00180671" w:rsidRPr="009E5F8A" w:rsidRDefault="00000000" w:rsidP="008C068E">
      <w:pPr>
        <w:spacing w:after="160"/>
        <w:rPr>
          <w:lang w:val="fr-FR"/>
        </w:rPr>
      </w:pPr>
      <w:r w:rsidRPr="009E5F8A">
        <w:rPr>
          <w:lang w:val="fr-FR"/>
        </w:rPr>
        <w:t>Index alphabétique des principaux termes, concepts et localisations cités dans le document.</w:t>
      </w:r>
    </w:p>
    <w:p w14:paraId="13CB71D4" w14:textId="7A283E32" w:rsidR="00180671" w:rsidRPr="009E5F8A" w:rsidRDefault="00000000" w:rsidP="00C11495">
      <w:pPr>
        <w:tabs>
          <w:tab w:val="right" w:pos="8789"/>
        </w:tabs>
        <w:spacing w:after="40"/>
        <w:rPr>
          <w:lang w:val="fr-FR"/>
        </w:rPr>
      </w:pPr>
      <w:r w:rsidRPr="009E5F8A">
        <w:rPr>
          <w:sz w:val="18"/>
          <w:szCs w:val="18"/>
          <w:lang w:val="fr-FR"/>
        </w:rPr>
        <w:t xml:space="preserve">Affaissement / Land subsidence </w:t>
      </w:r>
      <w:r w:rsidR="00C11495" w:rsidRPr="009E5F8A">
        <w:rPr>
          <w:sz w:val="18"/>
          <w:szCs w:val="18"/>
          <w:u w:val="dottedHeavy"/>
          <w:lang w:val="fr-FR"/>
        </w:rPr>
        <w:tab/>
      </w:r>
      <w:r w:rsidRPr="009E5F8A">
        <w:rPr>
          <w:sz w:val="18"/>
          <w:szCs w:val="18"/>
          <w:lang w:val="fr-FR"/>
        </w:rPr>
        <w:t xml:space="preserve"> §2.1</w:t>
      </w:r>
    </w:p>
    <w:p w14:paraId="7EDA99CB" w14:textId="3FFCD1AB" w:rsidR="00180671" w:rsidRPr="009E5F8A" w:rsidRDefault="00000000" w:rsidP="00C11495">
      <w:pPr>
        <w:tabs>
          <w:tab w:val="right" w:pos="8789"/>
        </w:tabs>
        <w:spacing w:after="40"/>
        <w:rPr>
          <w:lang w:val="fr-FR"/>
        </w:rPr>
      </w:pPr>
      <w:r w:rsidRPr="009E5F8A">
        <w:rPr>
          <w:sz w:val="18"/>
          <w:szCs w:val="18"/>
          <w:lang w:val="fr-FR"/>
        </w:rPr>
        <w:t xml:space="preserve">AIEA / IAEA (garanties, NPT) </w:t>
      </w:r>
      <w:r w:rsidR="00C11495" w:rsidRPr="009E5F8A">
        <w:rPr>
          <w:sz w:val="18"/>
          <w:szCs w:val="18"/>
          <w:u w:val="dottedHeavy"/>
          <w:lang w:val="fr-FR"/>
        </w:rPr>
        <w:tab/>
      </w:r>
      <w:r w:rsidRPr="009E5F8A">
        <w:rPr>
          <w:sz w:val="18"/>
          <w:szCs w:val="18"/>
          <w:lang w:val="fr-FR"/>
        </w:rPr>
        <w:t xml:space="preserve"> §6.3</w:t>
      </w:r>
    </w:p>
    <w:p w14:paraId="234B0166" w14:textId="02059080" w:rsidR="00180671" w:rsidRPr="009E5F8A" w:rsidRDefault="00000000" w:rsidP="00C11495">
      <w:pPr>
        <w:tabs>
          <w:tab w:val="right" w:pos="8789"/>
        </w:tabs>
        <w:spacing w:after="40"/>
        <w:rPr>
          <w:lang w:val="fr-FR"/>
        </w:rPr>
      </w:pPr>
      <w:r w:rsidRPr="009E5F8A">
        <w:rPr>
          <w:sz w:val="18"/>
          <w:szCs w:val="18"/>
          <w:lang w:val="fr-FR"/>
        </w:rPr>
        <w:t xml:space="preserve">Bangka Belitung / Kelasa Island </w:t>
      </w:r>
      <w:r w:rsidR="00C11495" w:rsidRPr="009E5F8A">
        <w:rPr>
          <w:sz w:val="18"/>
          <w:szCs w:val="18"/>
          <w:u w:val="dottedHeavy"/>
          <w:lang w:val="fr-FR"/>
        </w:rPr>
        <w:tab/>
      </w:r>
      <w:r w:rsidRPr="009E5F8A">
        <w:rPr>
          <w:sz w:val="18"/>
          <w:szCs w:val="18"/>
          <w:lang w:val="fr-FR"/>
        </w:rPr>
        <w:t xml:space="preserve"> §6.2</w:t>
      </w:r>
    </w:p>
    <w:p w14:paraId="0F817B40" w14:textId="505FD213" w:rsidR="00180671" w:rsidRPr="009E5F8A" w:rsidRDefault="00000000" w:rsidP="00C11495">
      <w:pPr>
        <w:tabs>
          <w:tab w:val="right" w:pos="8789"/>
        </w:tabs>
        <w:spacing w:after="40"/>
        <w:rPr>
          <w:lang w:val="fr-FR"/>
        </w:rPr>
      </w:pPr>
      <w:r w:rsidRPr="009E5F8A">
        <w:rPr>
          <w:sz w:val="18"/>
          <w:szCs w:val="18"/>
          <w:lang w:val="fr-FR"/>
        </w:rPr>
        <w:t xml:space="preserve">BAPETEN </w:t>
      </w:r>
      <w:r w:rsidR="00C11495" w:rsidRPr="009E5F8A">
        <w:rPr>
          <w:sz w:val="18"/>
          <w:szCs w:val="18"/>
          <w:u w:val="dottedHeavy"/>
          <w:lang w:val="fr-FR"/>
        </w:rPr>
        <w:tab/>
      </w:r>
      <w:r w:rsidRPr="009E5F8A">
        <w:rPr>
          <w:sz w:val="18"/>
          <w:szCs w:val="18"/>
          <w:lang w:val="fr-FR"/>
        </w:rPr>
        <w:t xml:space="preserve"> §6.2, §6.3</w:t>
      </w:r>
    </w:p>
    <w:p w14:paraId="75620DE1" w14:textId="4D71C0F8" w:rsidR="00180671" w:rsidRPr="009E5F8A" w:rsidRDefault="00000000" w:rsidP="00C11495">
      <w:pPr>
        <w:tabs>
          <w:tab w:val="right" w:pos="8789"/>
        </w:tabs>
        <w:spacing w:after="40"/>
        <w:rPr>
          <w:lang w:val="fr-FR"/>
        </w:rPr>
      </w:pPr>
      <w:r w:rsidRPr="009E5F8A">
        <w:rPr>
          <w:sz w:val="18"/>
          <w:szCs w:val="18"/>
          <w:lang w:val="fr-FR"/>
        </w:rPr>
        <w:t xml:space="preserve">BATAN / BRIN </w:t>
      </w:r>
      <w:r w:rsidR="00C11495" w:rsidRPr="009E5F8A">
        <w:rPr>
          <w:sz w:val="18"/>
          <w:szCs w:val="18"/>
          <w:u w:val="dottedHeavy"/>
          <w:lang w:val="fr-FR"/>
        </w:rPr>
        <w:tab/>
      </w:r>
      <w:r w:rsidRPr="009E5F8A">
        <w:rPr>
          <w:sz w:val="18"/>
          <w:szCs w:val="18"/>
          <w:lang w:val="fr-FR"/>
        </w:rPr>
        <w:t xml:space="preserve"> §6.2</w:t>
      </w:r>
    </w:p>
    <w:p w14:paraId="4DBB6374" w14:textId="71873D60" w:rsidR="00180671" w:rsidRPr="009E5F8A" w:rsidRDefault="00000000" w:rsidP="00C11495">
      <w:pPr>
        <w:tabs>
          <w:tab w:val="right" w:pos="8789"/>
        </w:tabs>
        <w:spacing w:after="40"/>
        <w:rPr>
          <w:lang w:val="fr-FR"/>
        </w:rPr>
      </w:pPr>
      <w:r w:rsidRPr="009E5F8A">
        <w:rPr>
          <w:sz w:val="18"/>
          <w:szCs w:val="18"/>
          <w:lang w:val="fr-FR"/>
        </w:rPr>
        <w:t xml:space="preserve">Bontang (Kalimantan Est) </w:t>
      </w:r>
      <w:r w:rsidR="00C11495" w:rsidRPr="009E5F8A">
        <w:rPr>
          <w:sz w:val="18"/>
          <w:szCs w:val="18"/>
          <w:u w:val="dottedHeavy"/>
          <w:lang w:val="fr-FR"/>
        </w:rPr>
        <w:tab/>
      </w:r>
      <w:r w:rsidRPr="009E5F8A">
        <w:rPr>
          <w:sz w:val="18"/>
          <w:szCs w:val="18"/>
          <w:lang w:val="fr-FR"/>
        </w:rPr>
        <w:t xml:space="preserve"> §6.2</w:t>
      </w:r>
    </w:p>
    <w:p w14:paraId="28E33694" w14:textId="7E636142" w:rsidR="00180671" w:rsidRPr="009E5F8A" w:rsidRDefault="00000000" w:rsidP="00C11495">
      <w:pPr>
        <w:tabs>
          <w:tab w:val="right" w:pos="8789"/>
        </w:tabs>
        <w:spacing w:after="40"/>
        <w:rPr>
          <w:lang w:val="fr-FR"/>
        </w:rPr>
      </w:pPr>
      <w:r w:rsidRPr="009E5F8A">
        <w:rPr>
          <w:sz w:val="18"/>
          <w:szCs w:val="18"/>
          <w:lang w:val="fr-FR"/>
        </w:rPr>
        <w:t xml:space="preserve">Climatisation individuelle vs District Cooling </w:t>
      </w:r>
      <w:r w:rsidR="00C11495" w:rsidRPr="009E5F8A">
        <w:rPr>
          <w:sz w:val="18"/>
          <w:szCs w:val="18"/>
          <w:u w:val="dottedHeavy"/>
          <w:lang w:val="fr-FR"/>
        </w:rPr>
        <w:tab/>
      </w:r>
      <w:r w:rsidRPr="009E5F8A">
        <w:rPr>
          <w:sz w:val="18"/>
          <w:szCs w:val="18"/>
          <w:lang w:val="fr-FR"/>
        </w:rPr>
        <w:t xml:space="preserve"> §3.2, §5, §6.1</w:t>
      </w:r>
    </w:p>
    <w:p w14:paraId="2FB192A6" w14:textId="4F684FE9" w:rsidR="00180671" w:rsidRPr="009E5F8A" w:rsidRDefault="00000000" w:rsidP="00C11495">
      <w:pPr>
        <w:tabs>
          <w:tab w:val="right" w:pos="8789"/>
        </w:tabs>
        <w:spacing w:after="40"/>
        <w:rPr>
          <w:lang w:val="fr-FR"/>
        </w:rPr>
      </w:pPr>
      <w:r w:rsidRPr="009E5F8A">
        <w:rPr>
          <w:sz w:val="18"/>
          <w:szCs w:val="18"/>
          <w:lang w:val="fr-FR"/>
        </w:rPr>
        <w:t xml:space="preserve">Congestion routière Jakarta </w:t>
      </w:r>
      <w:r w:rsidR="00C11495" w:rsidRPr="009E5F8A">
        <w:rPr>
          <w:sz w:val="18"/>
          <w:szCs w:val="18"/>
          <w:u w:val="dottedHeavy"/>
          <w:lang w:val="fr-FR"/>
        </w:rPr>
        <w:tab/>
      </w:r>
      <w:r w:rsidRPr="009E5F8A">
        <w:rPr>
          <w:sz w:val="18"/>
          <w:szCs w:val="18"/>
          <w:lang w:val="fr-FR"/>
        </w:rPr>
        <w:t xml:space="preserve"> §2.2</w:t>
      </w:r>
    </w:p>
    <w:p w14:paraId="4A53BDB3" w14:textId="5DA84EC7" w:rsidR="00180671" w:rsidRPr="009E5F8A" w:rsidRDefault="00000000" w:rsidP="00C11495">
      <w:pPr>
        <w:tabs>
          <w:tab w:val="right" w:pos="8789"/>
        </w:tabs>
        <w:spacing w:after="40"/>
        <w:rPr>
          <w:lang w:val="fr-FR"/>
        </w:rPr>
      </w:pPr>
      <w:r w:rsidRPr="009E5F8A">
        <w:rPr>
          <w:sz w:val="18"/>
          <w:szCs w:val="18"/>
          <w:lang w:val="fr-FR"/>
        </w:rPr>
        <w:t xml:space="preserve">Dayak (communautés locales) </w:t>
      </w:r>
      <w:r w:rsidR="00C11495" w:rsidRPr="009E5F8A">
        <w:rPr>
          <w:sz w:val="18"/>
          <w:szCs w:val="18"/>
          <w:u w:val="dottedHeavy"/>
          <w:lang w:val="fr-FR"/>
        </w:rPr>
        <w:tab/>
      </w:r>
      <w:r w:rsidRPr="009E5F8A">
        <w:rPr>
          <w:sz w:val="18"/>
          <w:szCs w:val="18"/>
          <w:lang w:val="fr-FR"/>
        </w:rPr>
        <w:t xml:space="preserve"> §7</w:t>
      </w:r>
    </w:p>
    <w:p w14:paraId="09A15C3D" w14:textId="50A9AC6A" w:rsidR="00180671" w:rsidRPr="009E5F8A" w:rsidRDefault="00000000" w:rsidP="00C11495">
      <w:pPr>
        <w:tabs>
          <w:tab w:val="right" w:pos="8789"/>
        </w:tabs>
        <w:spacing w:after="40"/>
        <w:rPr>
          <w:lang w:val="fr-FR"/>
        </w:rPr>
      </w:pPr>
      <w:r w:rsidRPr="009E5F8A">
        <w:rPr>
          <w:sz w:val="18"/>
          <w:szCs w:val="18"/>
          <w:lang w:val="fr-FR"/>
        </w:rPr>
        <w:t xml:space="preserve">District Cooling System (DCS / CCS) </w:t>
      </w:r>
      <w:r w:rsidR="00C11495" w:rsidRPr="009E5F8A">
        <w:rPr>
          <w:sz w:val="18"/>
          <w:szCs w:val="18"/>
          <w:u w:val="dottedHeavy"/>
          <w:lang w:val="fr-FR"/>
        </w:rPr>
        <w:tab/>
      </w:r>
      <w:r w:rsidRPr="009E5F8A">
        <w:rPr>
          <w:sz w:val="18"/>
          <w:szCs w:val="18"/>
          <w:lang w:val="fr-FR"/>
        </w:rPr>
        <w:t xml:space="preserve"> §5, §6.1</w:t>
      </w:r>
    </w:p>
    <w:p w14:paraId="0E5C4C55" w14:textId="247B8D75" w:rsidR="00180671" w:rsidRPr="009E5F8A" w:rsidRDefault="00000000" w:rsidP="00C11495">
      <w:pPr>
        <w:tabs>
          <w:tab w:val="right" w:pos="8789"/>
        </w:tabs>
        <w:spacing w:after="40"/>
        <w:rPr>
          <w:lang w:val="fr-FR"/>
        </w:rPr>
      </w:pPr>
      <w:r w:rsidRPr="009E5F8A">
        <w:rPr>
          <w:sz w:val="18"/>
          <w:szCs w:val="18"/>
          <w:lang w:val="fr-FR"/>
        </w:rPr>
        <w:t xml:space="preserve">Énergie renouvelable 100 % IKN </w:t>
      </w:r>
      <w:r w:rsidR="00C11495" w:rsidRPr="009E5F8A">
        <w:rPr>
          <w:sz w:val="18"/>
          <w:szCs w:val="18"/>
          <w:u w:val="dottedHeavy"/>
          <w:lang w:val="fr-FR"/>
        </w:rPr>
        <w:tab/>
      </w:r>
      <w:r w:rsidRPr="009E5F8A">
        <w:rPr>
          <w:sz w:val="18"/>
          <w:szCs w:val="18"/>
          <w:lang w:val="fr-FR"/>
        </w:rPr>
        <w:t xml:space="preserve"> §4.3, §5</w:t>
      </w:r>
    </w:p>
    <w:p w14:paraId="05E906E4" w14:textId="01F64841" w:rsidR="00180671" w:rsidRPr="009E5F8A" w:rsidRDefault="00000000" w:rsidP="00C11495">
      <w:pPr>
        <w:tabs>
          <w:tab w:val="right" w:pos="8789"/>
        </w:tabs>
        <w:spacing w:after="40"/>
        <w:rPr>
          <w:lang w:val="fr-FR"/>
        </w:rPr>
      </w:pPr>
      <w:r w:rsidRPr="009E5F8A">
        <w:rPr>
          <w:sz w:val="18"/>
          <w:szCs w:val="18"/>
          <w:lang w:val="fr-FR"/>
        </w:rPr>
        <w:t xml:space="preserve">Forest City </w:t>
      </w:r>
      <w:r w:rsidR="00C11495" w:rsidRPr="009E5F8A">
        <w:rPr>
          <w:sz w:val="18"/>
          <w:szCs w:val="18"/>
          <w:u w:val="dottedHeavy"/>
          <w:lang w:val="fr-FR"/>
        </w:rPr>
        <w:tab/>
      </w:r>
      <w:r w:rsidRPr="009E5F8A">
        <w:rPr>
          <w:sz w:val="18"/>
          <w:szCs w:val="18"/>
          <w:lang w:val="fr-FR"/>
        </w:rPr>
        <w:t xml:space="preserve"> §4.2</w:t>
      </w:r>
    </w:p>
    <w:p w14:paraId="57B9FA2C" w14:textId="5D8C4D21" w:rsidR="00180671" w:rsidRPr="009E5F8A" w:rsidRDefault="00000000" w:rsidP="00C11495">
      <w:pPr>
        <w:tabs>
          <w:tab w:val="right" w:pos="8789"/>
        </w:tabs>
        <w:spacing w:after="40"/>
        <w:rPr>
          <w:lang w:val="fr-FR"/>
        </w:rPr>
      </w:pPr>
      <w:r w:rsidRPr="009E5F8A">
        <w:rPr>
          <w:sz w:val="18"/>
          <w:szCs w:val="18"/>
          <w:lang w:val="fr-FR"/>
        </w:rPr>
        <w:t xml:space="preserve">Giant Sea Wall / NCICD </w:t>
      </w:r>
      <w:r w:rsidR="00C11495" w:rsidRPr="009E5F8A">
        <w:rPr>
          <w:sz w:val="18"/>
          <w:szCs w:val="18"/>
          <w:u w:val="dottedHeavy"/>
          <w:lang w:val="fr-FR"/>
        </w:rPr>
        <w:tab/>
      </w:r>
      <w:r w:rsidRPr="009E5F8A">
        <w:rPr>
          <w:sz w:val="18"/>
          <w:szCs w:val="18"/>
          <w:lang w:val="fr-FR"/>
        </w:rPr>
        <w:t xml:space="preserve"> §2.1</w:t>
      </w:r>
    </w:p>
    <w:p w14:paraId="14BF3D4F" w14:textId="13D47C01" w:rsidR="00180671" w:rsidRPr="009E5F8A" w:rsidRDefault="00000000" w:rsidP="00C11495">
      <w:pPr>
        <w:tabs>
          <w:tab w:val="right" w:pos="8789"/>
        </w:tabs>
        <w:spacing w:after="40"/>
        <w:rPr>
          <w:lang w:val="fr-FR"/>
        </w:rPr>
      </w:pPr>
      <w:r w:rsidRPr="009E5F8A">
        <w:rPr>
          <w:sz w:val="18"/>
          <w:szCs w:val="18"/>
          <w:lang w:val="fr-FR"/>
        </w:rPr>
        <w:t xml:space="preserve">Hydroélectricité (Kayan, Kalimantan) </w:t>
      </w:r>
      <w:r w:rsidR="00C11495" w:rsidRPr="009E5F8A">
        <w:rPr>
          <w:sz w:val="18"/>
          <w:szCs w:val="18"/>
          <w:u w:val="dottedHeavy"/>
          <w:lang w:val="fr-FR"/>
        </w:rPr>
        <w:tab/>
      </w:r>
      <w:r w:rsidRPr="009E5F8A">
        <w:rPr>
          <w:sz w:val="18"/>
          <w:szCs w:val="18"/>
          <w:lang w:val="fr-FR"/>
        </w:rPr>
        <w:t xml:space="preserve"> §4.3</w:t>
      </w:r>
    </w:p>
    <w:p w14:paraId="079FB294" w14:textId="4DA2CCF0" w:rsidR="00180671" w:rsidRPr="009E5F8A" w:rsidRDefault="00000000" w:rsidP="00C11495">
      <w:pPr>
        <w:tabs>
          <w:tab w:val="right" w:pos="8789"/>
        </w:tabs>
        <w:spacing w:after="40"/>
        <w:rPr>
          <w:lang w:val="fr-FR"/>
        </w:rPr>
      </w:pPr>
      <w:r w:rsidRPr="009E5F8A">
        <w:rPr>
          <w:sz w:val="18"/>
          <w:szCs w:val="18"/>
          <w:lang w:val="fr-FR"/>
        </w:rPr>
        <w:t xml:space="preserve">Îlot de chaleur urbain (UHI) </w:t>
      </w:r>
      <w:r w:rsidR="00C11495" w:rsidRPr="009E5F8A">
        <w:rPr>
          <w:sz w:val="18"/>
          <w:szCs w:val="18"/>
          <w:u w:val="dottedHeavy"/>
          <w:lang w:val="fr-FR"/>
        </w:rPr>
        <w:tab/>
      </w:r>
      <w:r w:rsidRPr="009E5F8A">
        <w:rPr>
          <w:sz w:val="18"/>
          <w:szCs w:val="18"/>
          <w:lang w:val="fr-FR"/>
        </w:rPr>
        <w:t xml:space="preserve"> §2.3, §3.2, §5</w:t>
      </w:r>
    </w:p>
    <w:p w14:paraId="1492980F" w14:textId="17153680" w:rsidR="00180671" w:rsidRPr="009E5F8A" w:rsidRDefault="00000000" w:rsidP="00C11495">
      <w:pPr>
        <w:tabs>
          <w:tab w:val="right" w:pos="8789"/>
        </w:tabs>
        <w:spacing w:after="40"/>
        <w:rPr>
          <w:lang w:val="fr-FR"/>
        </w:rPr>
      </w:pPr>
      <w:r w:rsidRPr="009E5F8A">
        <w:rPr>
          <w:sz w:val="18"/>
          <w:szCs w:val="18"/>
          <w:lang w:val="fr-FR"/>
        </w:rPr>
        <w:t xml:space="preserve">Inondations Jakarta </w:t>
      </w:r>
      <w:r w:rsidR="00C11495" w:rsidRPr="009E5F8A">
        <w:rPr>
          <w:sz w:val="18"/>
          <w:szCs w:val="18"/>
          <w:u w:val="dottedHeavy"/>
          <w:lang w:val="fr-FR"/>
        </w:rPr>
        <w:tab/>
      </w:r>
      <w:r w:rsidRPr="009E5F8A">
        <w:rPr>
          <w:sz w:val="18"/>
          <w:szCs w:val="18"/>
          <w:lang w:val="fr-FR"/>
        </w:rPr>
        <w:t xml:space="preserve"> §2.1</w:t>
      </w:r>
    </w:p>
    <w:p w14:paraId="56E02514" w14:textId="429E77E8" w:rsidR="00180671" w:rsidRPr="009E5F8A" w:rsidRDefault="00000000" w:rsidP="00C11495">
      <w:pPr>
        <w:tabs>
          <w:tab w:val="right" w:pos="8789"/>
        </w:tabs>
        <w:spacing w:after="40"/>
        <w:rPr>
          <w:lang w:val="fr-FR"/>
        </w:rPr>
      </w:pPr>
      <w:r w:rsidRPr="009E5F8A">
        <w:rPr>
          <w:sz w:val="18"/>
          <w:szCs w:val="18"/>
          <w:lang w:val="fr-FR"/>
        </w:rPr>
        <w:t xml:space="preserve">Kalimantan Est / Bornéo </w:t>
      </w:r>
      <w:r w:rsidR="00C11495" w:rsidRPr="009E5F8A">
        <w:rPr>
          <w:sz w:val="18"/>
          <w:szCs w:val="18"/>
          <w:u w:val="dottedHeavy"/>
          <w:lang w:val="fr-FR"/>
        </w:rPr>
        <w:tab/>
      </w:r>
      <w:r w:rsidRPr="009E5F8A">
        <w:rPr>
          <w:sz w:val="18"/>
          <w:szCs w:val="18"/>
          <w:lang w:val="fr-FR"/>
        </w:rPr>
        <w:t xml:space="preserve"> §4.1</w:t>
      </w:r>
    </w:p>
    <w:p w14:paraId="6FFB61DB" w14:textId="23D2F805" w:rsidR="00180671" w:rsidRPr="009E5F8A" w:rsidRDefault="00000000" w:rsidP="00C11495">
      <w:pPr>
        <w:tabs>
          <w:tab w:val="right" w:pos="8789"/>
        </w:tabs>
        <w:spacing w:after="40"/>
        <w:rPr>
          <w:lang w:val="fr-FR"/>
        </w:rPr>
      </w:pPr>
      <w:r w:rsidRPr="009E5F8A">
        <w:rPr>
          <w:sz w:val="18"/>
          <w:szCs w:val="18"/>
          <w:lang w:val="fr-FR"/>
        </w:rPr>
        <w:t xml:space="preserve">Loi 3/2022 et Perpres 63/2022 </w:t>
      </w:r>
      <w:r w:rsidR="00C11495" w:rsidRPr="009E5F8A">
        <w:rPr>
          <w:sz w:val="18"/>
          <w:szCs w:val="18"/>
          <w:u w:val="dottedHeavy"/>
          <w:lang w:val="fr-FR"/>
        </w:rPr>
        <w:tab/>
      </w:r>
      <w:r w:rsidRPr="009E5F8A">
        <w:rPr>
          <w:sz w:val="18"/>
          <w:szCs w:val="18"/>
          <w:lang w:val="fr-FR"/>
        </w:rPr>
        <w:t xml:space="preserve"> §4</w:t>
      </w:r>
    </w:p>
    <w:p w14:paraId="19E5F67D" w14:textId="5A58F06E" w:rsidR="00180671" w:rsidRPr="009E5F8A" w:rsidRDefault="00000000" w:rsidP="00C11495">
      <w:pPr>
        <w:tabs>
          <w:tab w:val="right" w:pos="8789"/>
        </w:tabs>
        <w:spacing w:after="40"/>
        <w:rPr>
          <w:lang w:val="fr-FR"/>
        </w:rPr>
      </w:pPr>
      <w:r w:rsidRPr="009E5F8A">
        <w:rPr>
          <w:sz w:val="18"/>
          <w:szCs w:val="18"/>
          <w:lang w:val="fr-FR"/>
        </w:rPr>
        <w:t xml:space="preserve">Molten Salt Reactor (MSR) / Thorium </w:t>
      </w:r>
      <w:r w:rsidR="00C11495" w:rsidRPr="009E5F8A">
        <w:rPr>
          <w:sz w:val="18"/>
          <w:szCs w:val="18"/>
          <w:u w:val="dottedHeavy"/>
          <w:lang w:val="fr-FR"/>
        </w:rPr>
        <w:tab/>
      </w:r>
      <w:r w:rsidRPr="009E5F8A">
        <w:rPr>
          <w:sz w:val="18"/>
          <w:szCs w:val="18"/>
          <w:lang w:val="fr-FR"/>
        </w:rPr>
        <w:t xml:space="preserve"> §6.2</w:t>
      </w:r>
    </w:p>
    <w:p w14:paraId="262DCA7D" w14:textId="7B4FFA4B" w:rsidR="00180671" w:rsidRPr="009E5F8A" w:rsidRDefault="00000000" w:rsidP="00C11495">
      <w:pPr>
        <w:tabs>
          <w:tab w:val="right" w:pos="8789"/>
        </w:tabs>
        <w:spacing w:after="40"/>
        <w:rPr>
          <w:lang w:val="fr-FR"/>
        </w:rPr>
      </w:pPr>
      <w:r w:rsidRPr="009E5F8A">
        <w:rPr>
          <w:sz w:val="18"/>
          <w:szCs w:val="18"/>
          <w:lang w:val="fr-FR"/>
        </w:rPr>
        <w:t xml:space="preserve">Net Zero Emissions IKN 2045 </w:t>
      </w:r>
      <w:r w:rsidR="00C11495" w:rsidRPr="009E5F8A">
        <w:rPr>
          <w:sz w:val="18"/>
          <w:szCs w:val="18"/>
          <w:u w:val="dottedHeavy"/>
          <w:lang w:val="fr-FR"/>
        </w:rPr>
        <w:tab/>
      </w:r>
      <w:r w:rsidRPr="009E5F8A">
        <w:rPr>
          <w:sz w:val="18"/>
          <w:szCs w:val="18"/>
          <w:lang w:val="fr-FR"/>
        </w:rPr>
        <w:t xml:space="preserve"> §4.3</w:t>
      </w:r>
    </w:p>
    <w:p w14:paraId="45BDF646" w14:textId="6DA2942E" w:rsidR="00180671" w:rsidRPr="009E5F8A" w:rsidRDefault="00000000" w:rsidP="00C11495">
      <w:pPr>
        <w:tabs>
          <w:tab w:val="right" w:pos="8789"/>
        </w:tabs>
        <w:spacing w:after="40"/>
        <w:rPr>
          <w:lang w:val="fr-FR"/>
        </w:rPr>
      </w:pPr>
      <w:r w:rsidRPr="009E5F8A">
        <w:rPr>
          <w:sz w:val="18"/>
          <w:szCs w:val="18"/>
          <w:lang w:val="fr-FR"/>
        </w:rPr>
        <w:t xml:space="preserve">NPT (Traité de non-prolifération) </w:t>
      </w:r>
      <w:r w:rsidR="00C11495" w:rsidRPr="009E5F8A">
        <w:rPr>
          <w:sz w:val="18"/>
          <w:szCs w:val="18"/>
          <w:u w:val="dottedHeavy"/>
          <w:lang w:val="fr-FR"/>
        </w:rPr>
        <w:tab/>
      </w:r>
      <w:r w:rsidRPr="009E5F8A">
        <w:rPr>
          <w:sz w:val="18"/>
          <w:szCs w:val="18"/>
          <w:lang w:val="fr-FR"/>
        </w:rPr>
        <w:t xml:space="preserve"> §6.3</w:t>
      </w:r>
    </w:p>
    <w:p w14:paraId="239DC59B" w14:textId="6A492BEA" w:rsidR="00180671" w:rsidRPr="009E5F8A" w:rsidRDefault="00000000" w:rsidP="00C11495">
      <w:pPr>
        <w:tabs>
          <w:tab w:val="right" w:pos="8789"/>
        </w:tabs>
        <w:spacing w:after="40"/>
        <w:rPr>
          <w:lang w:val="fr-FR"/>
        </w:rPr>
      </w:pPr>
      <w:r w:rsidRPr="009E5F8A">
        <w:rPr>
          <w:sz w:val="18"/>
          <w:szCs w:val="18"/>
          <w:lang w:val="fr-FR"/>
        </w:rPr>
        <w:t xml:space="preserve">Nusantara / IKN (Ibu Kota Nusantara) </w:t>
      </w:r>
      <w:r w:rsidR="00C11495" w:rsidRPr="009E5F8A">
        <w:rPr>
          <w:sz w:val="18"/>
          <w:szCs w:val="18"/>
          <w:u w:val="dottedHeavy"/>
          <w:lang w:val="fr-FR"/>
        </w:rPr>
        <w:tab/>
      </w:r>
      <w:r w:rsidRPr="009E5F8A">
        <w:rPr>
          <w:sz w:val="18"/>
          <w:szCs w:val="18"/>
          <w:lang w:val="fr-FR"/>
        </w:rPr>
        <w:t xml:space="preserve"> tout le document</w:t>
      </w:r>
    </w:p>
    <w:p w14:paraId="76B28D8B" w14:textId="56269152" w:rsidR="00180671" w:rsidRPr="009E5F8A" w:rsidRDefault="00000000" w:rsidP="00C11495">
      <w:pPr>
        <w:tabs>
          <w:tab w:val="right" w:pos="8789"/>
        </w:tabs>
        <w:spacing w:after="40"/>
        <w:rPr>
          <w:lang w:val="fr-FR"/>
        </w:rPr>
      </w:pPr>
      <w:r w:rsidRPr="009E5F8A">
        <w:rPr>
          <w:sz w:val="18"/>
          <w:szCs w:val="18"/>
          <w:lang w:val="fr-FR"/>
        </w:rPr>
        <w:t xml:space="preserve">Pollution atmosphérique Jakarta </w:t>
      </w:r>
      <w:r w:rsidR="00C11495" w:rsidRPr="009E5F8A">
        <w:rPr>
          <w:sz w:val="18"/>
          <w:szCs w:val="18"/>
          <w:u w:val="dottedHeavy"/>
          <w:lang w:val="fr-FR"/>
        </w:rPr>
        <w:tab/>
      </w:r>
      <w:r w:rsidRPr="009E5F8A">
        <w:rPr>
          <w:sz w:val="18"/>
          <w:szCs w:val="18"/>
          <w:lang w:val="fr-FR"/>
        </w:rPr>
        <w:t xml:space="preserve"> §2.2</w:t>
      </w:r>
    </w:p>
    <w:p w14:paraId="3AECFD37" w14:textId="7AC7C26A" w:rsidR="00180671" w:rsidRPr="009E5F8A" w:rsidRDefault="00000000" w:rsidP="00C11495">
      <w:pPr>
        <w:tabs>
          <w:tab w:val="right" w:pos="8789"/>
        </w:tabs>
        <w:spacing w:after="40"/>
        <w:rPr>
          <w:lang w:val="fr-FR"/>
        </w:rPr>
      </w:pPr>
      <w:r w:rsidRPr="009E5F8A">
        <w:rPr>
          <w:sz w:val="18"/>
          <w:szCs w:val="18"/>
          <w:lang w:val="fr-FR"/>
        </w:rPr>
        <w:t xml:space="preserve">Prabowo Subianto (engagement 2026) </w:t>
      </w:r>
      <w:r w:rsidR="00C11495" w:rsidRPr="009E5F8A">
        <w:rPr>
          <w:sz w:val="18"/>
          <w:szCs w:val="18"/>
          <w:u w:val="dottedHeavy"/>
          <w:lang w:val="fr-FR"/>
        </w:rPr>
        <w:tab/>
      </w:r>
      <w:r w:rsidRPr="009E5F8A">
        <w:rPr>
          <w:sz w:val="18"/>
          <w:szCs w:val="18"/>
          <w:lang w:val="fr-FR"/>
        </w:rPr>
        <w:t xml:space="preserve"> §4.1</w:t>
      </w:r>
    </w:p>
    <w:p w14:paraId="30BAFA3A" w14:textId="5E6E766A" w:rsidR="00180671" w:rsidRPr="009E5F8A" w:rsidRDefault="00000000" w:rsidP="00C11495">
      <w:pPr>
        <w:tabs>
          <w:tab w:val="right" w:pos="8789"/>
        </w:tabs>
        <w:spacing w:after="40"/>
        <w:rPr>
          <w:lang w:val="fr-FR"/>
        </w:rPr>
      </w:pPr>
      <w:r w:rsidRPr="009E5F8A">
        <w:rPr>
          <w:sz w:val="18"/>
          <w:szCs w:val="18"/>
          <w:lang w:val="fr-FR"/>
        </w:rPr>
        <w:t xml:space="preserve">Rosatom (SMR / floating) </w:t>
      </w:r>
      <w:r w:rsidR="00C11495" w:rsidRPr="009E5F8A">
        <w:rPr>
          <w:sz w:val="18"/>
          <w:szCs w:val="18"/>
          <w:u w:val="dottedHeavy"/>
          <w:lang w:val="fr-FR"/>
        </w:rPr>
        <w:tab/>
      </w:r>
      <w:r w:rsidRPr="009E5F8A">
        <w:rPr>
          <w:sz w:val="18"/>
          <w:szCs w:val="18"/>
          <w:lang w:val="fr-FR"/>
        </w:rPr>
        <w:t xml:space="preserve"> §6.2</w:t>
      </w:r>
    </w:p>
    <w:p w14:paraId="101E5558" w14:textId="74483A21" w:rsidR="00180671" w:rsidRPr="009E5F8A" w:rsidRDefault="00000000" w:rsidP="00C11495">
      <w:pPr>
        <w:tabs>
          <w:tab w:val="right" w:pos="8789"/>
        </w:tabs>
        <w:spacing w:after="40"/>
        <w:rPr>
          <w:lang w:val="fr-FR"/>
        </w:rPr>
      </w:pPr>
      <w:r w:rsidRPr="009E5F8A">
        <w:rPr>
          <w:sz w:val="18"/>
          <w:szCs w:val="18"/>
          <w:lang w:val="fr-FR"/>
        </w:rPr>
        <w:t xml:space="preserve">RUPTL PLN 2025–2034 </w:t>
      </w:r>
      <w:r w:rsidR="00C11495" w:rsidRPr="009E5F8A">
        <w:rPr>
          <w:sz w:val="18"/>
          <w:szCs w:val="18"/>
          <w:u w:val="dottedHeavy"/>
          <w:lang w:val="fr-FR"/>
        </w:rPr>
        <w:tab/>
      </w:r>
      <w:r w:rsidRPr="009E5F8A">
        <w:rPr>
          <w:sz w:val="18"/>
          <w:szCs w:val="18"/>
          <w:lang w:val="fr-FR"/>
        </w:rPr>
        <w:t xml:space="preserve"> §6.2</w:t>
      </w:r>
    </w:p>
    <w:p w14:paraId="76BCD560" w14:textId="00997724" w:rsidR="00180671" w:rsidRPr="009E5F8A" w:rsidRDefault="00000000" w:rsidP="00C11495">
      <w:pPr>
        <w:tabs>
          <w:tab w:val="right" w:pos="8789"/>
        </w:tabs>
        <w:spacing w:after="40"/>
        <w:rPr>
          <w:lang w:val="fr-FR"/>
        </w:rPr>
      </w:pPr>
      <w:r w:rsidRPr="009E5F8A">
        <w:rPr>
          <w:sz w:val="18"/>
          <w:szCs w:val="18"/>
          <w:lang w:val="fr-FR"/>
        </w:rPr>
        <w:t xml:space="preserve">Smart City </w:t>
      </w:r>
      <w:r w:rsidR="00C11495" w:rsidRPr="009E5F8A">
        <w:rPr>
          <w:sz w:val="18"/>
          <w:szCs w:val="18"/>
          <w:u w:val="dottedHeavy"/>
          <w:lang w:val="fr-FR"/>
        </w:rPr>
        <w:tab/>
      </w:r>
      <w:r w:rsidRPr="009E5F8A">
        <w:rPr>
          <w:sz w:val="18"/>
          <w:szCs w:val="18"/>
          <w:lang w:val="fr-FR"/>
        </w:rPr>
        <w:t xml:space="preserve"> §4.2</w:t>
      </w:r>
    </w:p>
    <w:p w14:paraId="4552BDDC" w14:textId="2D08F27F" w:rsidR="00180671" w:rsidRPr="009E5F8A" w:rsidRDefault="00000000" w:rsidP="00C11495">
      <w:pPr>
        <w:tabs>
          <w:tab w:val="right" w:pos="8789"/>
        </w:tabs>
        <w:spacing w:after="40"/>
        <w:rPr>
          <w:lang w:val="fr-FR"/>
        </w:rPr>
      </w:pPr>
      <w:r w:rsidRPr="009E5F8A">
        <w:rPr>
          <w:sz w:val="18"/>
          <w:szCs w:val="18"/>
          <w:lang w:val="fr-FR"/>
        </w:rPr>
        <w:t xml:space="preserve">Sponge City </w:t>
      </w:r>
      <w:r w:rsidR="00C11495" w:rsidRPr="009E5F8A">
        <w:rPr>
          <w:sz w:val="18"/>
          <w:szCs w:val="18"/>
          <w:u w:val="dottedHeavy"/>
          <w:lang w:val="fr-FR"/>
        </w:rPr>
        <w:tab/>
      </w:r>
      <w:r w:rsidRPr="009E5F8A">
        <w:rPr>
          <w:sz w:val="18"/>
          <w:szCs w:val="18"/>
          <w:lang w:val="fr-FR"/>
        </w:rPr>
        <w:t xml:space="preserve"> §4.2</w:t>
      </w:r>
    </w:p>
    <w:p w14:paraId="124A6FAD" w14:textId="329CDCEF" w:rsidR="00180671" w:rsidRPr="009E5F8A" w:rsidRDefault="00000000" w:rsidP="00C11495">
      <w:pPr>
        <w:tabs>
          <w:tab w:val="right" w:pos="8789"/>
        </w:tabs>
        <w:spacing w:after="40"/>
        <w:rPr>
          <w:lang w:val="fr-FR"/>
        </w:rPr>
      </w:pPr>
      <w:r w:rsidRPr="009E5F8A">
        <w:rPr>
          <w:sz w:val="18"/>
          <w:szCs w:val="18"/>
          <w:lang w:val="fr-FR"/>
        </w:rPr>
        <w:t xml:space="preserve">SWAC (Seawater Air Conditioning) </w:t>
      </w:r>
      <w:r w:rsidR="00C11495" w:rsidRPr="009E5F8A">
        <w:rPr>
          <w:sz w:val="18"/>
          <w:szCs w:val="18"/>
          <w:u w:val="dottedHeavy"/>
          <w:lang w:val="fr-FR"/>
        </w:rPr>
        <w:tab/>
      </w:r>
      <w:r w:rsidRPr="009E5F8A">
        <w:rPr>
          <w:sz w:val="18"/>
          <w:szCs w:val="18"/>
          <w:lang w:val="fr-FR"/>
        </w:rPr>
        <w:t xml:space="preserve"> §6.1</w:t>
      </w:r>
    </w:p>
    <w:p w14:paraId="4CAAEFA7" w14:textId="624644B7" w:rsidR="00180671" w:rsidRPr="009E5F8A" w:rsidRDefault="00000000" w:rsidP="00C11495">
      <w:pPr>
        <w:tabs>
          <w:tab w:val="right" w:pos="8789"/>
        </w:tabs>
        <w:spacing w:after="40"/>
        <w:rPr>
          <w:lang w:val="fr-FR"/>
        </w:rPr>
      </w:pPr>
      <w:r w:rsidRPr="009E5F8A">
        <w:rPr>
          <w:sz w:val="18"/>
          <w:szCs w:val="18"/>
          <w:lang w:val="fr-FR"/>
        </w:rPr>
        <w:t xml:space="preserve">ThorCon / TMSR </w:t>
      </w:r>
      <w:r w:rsidR="00C11495" w:rsidRPr="009E5F8A">
        <w:rPr>
          <w:sz w:val="18"/>
          <w:szCs w:val="18"/>
          <w:u w:val="dottedHeavy"/>
          <w:lang w:val="fr-FR"/>
        </w:rPr>
        <w:tab/>
      </w:r>
      <w:r w:rsidRPr="009E5F8A">
        <w:rPr>
          <w:sz w:val="18"/>
          <w:szCs w:val="18"/>
          <w:lang w:val="fr-FR"/>
        </w:rPr>
        <w:t xml:space="preserve"> §6.2</w:t>
      </w:r>
    </w:p>
    <w:p w14:paraId="54B8AF29" w14:textId="3C40E223" w:rsidR="00180671" w:rsidRPr="009E5F8A" w:rsidRDefault="00000000" w:rsidP="00C11495">
      <w:pPr>
        <w:tabs>
          <w:tab w:val="right" w:pos="8789"/>
        </w:tabs>
        <w:spacing w:after="160"/>
        <w:rPr>
          <w:lang w:val="fr-FR"/>
        </w:rPr>
      </w:pPr>
      <w:r w:rsidRPr="009E5F8A">
        <w:rPr>
          <w:sz w:val="18"/>
          <w:szCs w:val="18"/>
          <w:lang w:val="fr-FR"/>
        </w:rPr>
        <w:t xml:space="preserve">Transport électrique / public IKN </w:t>
      </w:r>
      <w:r w:rsidR="00C11495" w:rsidRPr="009E5F8A">
        <w:rPr>
          <w:sz w:val="18"/>
          <w:szCs w:val="18"/>
          <w:u w:val="dottedHeavy"/>
          <w:lang w:val="fr-FR"/>
        </w:rPr>
        <w:tab/>
      </w:r>
      <w:r w:rsidRPr="009E5F8A">
        <w:rPr>
          <w:sz w:val="18"/>
          <w:szCs w:val="18"/>
          <w:lang w:val="fr-FR"/>
        </w:rPr>
        <w:t xml:space="preserve"> §4.2, §5</w:t>
      </w:r>
    </w:p>
    <w:p w14:paraId="4C249B66" w14:textId="29706A76" w:rsidR="00180671" w:rsidRPr="009E5F8A" w:rsidRDefault="00180671" w:rsidP="008C068E">
      <w:pPr>
        <w:pBdr>
          <w:top w:val="single" w:sz="12" w:space="8" w:color="0A2540"/>
        </w:pBdr>
        <w:spacing w:before="200"/>
        <w:rPr>
          <w:lang w:val="fr-FR"/>
        </w:rPr>
      </w:pPr>
    </w:p>
    <w:p w14:paraId="3C1ED4E2" w14:textId="77777777" w:rsidR="00CA106F" w:rsidRPr="009E5F8A" w:rsidRDefault="00CA106F" w:rsidP="008C068E">
      <w:pPr>
        <w:pBdr>
          <w:top w:val="single" w:sz="12" w:space="8" w:color="0A2540"/>
        </w:pBdr>
        <w:spacing w:before="200"/>
        <w:rPr>
          <w:lang w:val="fr-FR"/>
        </w:rPr>
        <w:sectPr w:rsidR="00CA106F" w:rsidRPr="009E5F8A">
          <w:headerReference w:type="default" r:id="rId16"/>
          <w:footerReference w:type="default" r:id="rId17"/>
          <w:pgSz w:w="11906" w:h="16838"/>
          <w:pgMar w:top="1134" w:right="1134" w:bottom="1134" w:left="1134" w:header="708" w:footer="708" w:gutter="0"/>
          <w:cols w:space="720"/>
          <w:docGrid w:linePitch="360"/>
        </w:sectPr>
      </w:pPr>
    </w:p>
    <w:p w14:paraId="53597802" w14:textId="65AA8DE4" w:rsidR="00CA106F" w:rsidRPr="009E5F8A" w:rsidRDefault="00CA106F" w:rsidP="00CA106F">
      <w:pPr>
        <w:pStyle w:val="Heading1"/>
        <w:rPr>
          <w:lang w:val="fr-FR"/>
        </w:rPr>
      </w:pPr>
      <w:bookmarkStart w:id="60" w:name="_Toc236489305"/>
      <w:bookmarkStart w:id="61" w:name="_Toc236489384"/>
      <w:r w:rsidRPr="009E5F8A">
        <w:rPr>
          <w:lang w:val="fr-FR"/>
        </w:rPr>
        <w:lastRenderedPageBreak/>
        <w:t>ANNEXE</w:t>
      </w:r>
      <w:r w:rsidR="007D7CC9" w:rsidRPr="009E5F8A">
        <w:rPr>
          <w:lang w:val="fr-FR"/>
        </w:rPr>
        <w:t xml:space="preserve"> 0</w:t>
      </w:r>
      <w:r w:rsidRPr="009E5F8A">
        <w:rPr>
          <w:lang w:val="fr-FR"/>
        </w:rPr>
        <w:t xml:space="preserve"> : Amélioration de la base du projet de base Nusantara par contribution universelle</w:t>
      </w:r>
      <w:bookmarkEnd w:id="60"/>
      <w:bookmarkEnd w:id="61"/>
    </w:p>
    <w:p w14:paraId="2A5DCED4" w14:textId="77777777" w:rsidR="00CA106F" w:rsidRPr="009E5F8A" w:rsidRDefault="00CA106F" w:rsidP="00CA106F">
      <w:pPr>
        <w:jc w:val="center"/>
        <w:rPr>
          <w:lang w:val="fr-FR"/>
        </w:rPr>
      </w:pPr>
      <w:r w:rsidRPr="009E5F8A">
        <w:rPr>
          <w:b/>
          <w:color w:val="1B6B4A"/>
          <w:sz w:val="26"/>
          <w:lang w:val="fr-FR"/>
        </w:rPr>
        <w:t>Organisation de Volontaires et Template A3</w:t>
      </w:r>
      <w:r w:rsidRPr="009E5F8A">
        <w:rPr>
          <w:b/>
          <w:color w:val="1B6B4A"/>
          <w:sz w:val="26"/>
          <w:lang w:val="fr-FR"/>
        </w:rPr>
        <w:br/>
        <w:t>d’Initiation de Modules (Gestion du Changement)</w:t>
      </w:r>
    </w:p>
    <w:p w14:paraId="6BD45648" w14:textId="77777777" w:rsidR="00CA106F" w:rsidRPr="009E5F8A" w:rsidRDefault="00CA106F" w:rsidP="00CA106F">
      <w:pPr>
        <w:jc w:val="center"/>
        <w:rPr>
          <w:lang w:val="fr-FR"/>
        </w:rPr>
      </w:pPr>
      <w:r w:rsidRPr="009E5F8A">
        <w:rPr>
          <w:i/>
          <w:color w:val="546E7A"/>
          <w:lang w:val="fr-FR"/>
        </w:rPr>
        <w:t>Projet collaboratif Nusantara / Jakarta Transition</w:t>
      </w:r>
      <w:r w:rsidRPr="009E5F8A">
        <w:rPr>
          <w:i/>
          <w:color w:val="546E7A"/>
          <w:lang w:val="fr-FR"/>
        </w:rPr>
        <w:br/>
        <w:t>Sous direction exclusive de François Dorléans (SuperGrokPro)</w:t>
      </w:r>
    </w:p>
    <w:p w14:paraId="4BFEFBFF" w14:textId="77777777" w:rsidR="00CA106F" w:rsidRPr="009E5F8A" w:rsidRDefault="00CA106F" w:rsidP="00CA106F">
      <w:pPr>
        <w:jc w:val="center"/>
        <w:rPr>
          <w:lang w:val="fr-FR"/>
        </w:rPr>
      </w:pPr>
      <w:r w:rsidRPr="009E5F8A">
        <w:rPr>
          <w:color w:val="546E7A"/>
          <w:sz w:val="18"/>
          <w:lang w:val="fr-FR"/>
        </w:rPr>
        <w:t>Document annexé au Rapport technique Jakarta – Nusantara (juillet 2026)</w:t>
      </w:r>
    </w:p>
    <w:p w14:paraId="10163870" w14:textId="77777777" w:rsidR="00CA106F" w:rsidRPr="009E5F8A" w:rsidRDefault="00CA106F" w:rsidP="00CA106F">
      <w:pPr>
        <w:jc w:val="center"/>
        <w:rPr>
          <w:lang w:val="fr-FR"/>
        </w:rPr>
      </w:pPr>
      <w:r w:rsidRPr="009E5F8A">
        <w:rPr>
          <w:color w:val="1B6B4A"/>
          <w:sz w:val="18"/>
          <w:lang w:val="fr-FR"/>
        </w:rPr>
        <w:t>────────────────────────────────────────────────</w:t>
      </w:r>
    </w:p>
    <w:p w14:paraId="3F7FC926" w14:textId="77777777" w:rsidR="00CA106F" w:rsidRPr="009E5F8A" w:rsidRDefault="00CA106F" w:rsidP="00CA106F">
      <w:pPr>
        <w:jc w:val="both"/>
        <w:rPr>
          <w:lang w:val="fr-FR"/>
        </w:rPr>
      </w:pPr>
      <w:r w:rsidRPr="009E5F8A">
        <w:rPr>
          <w:i/>
          <w:sz w:val="18"/>
          <w:lang w:val="fr-FR"/>
        </w:rPr>
        <w:t>Cette annexe et le template A3 associé sont produits sous la direction exclusive de M. François Dorléans (compte SuperGrokPro – @FPADorleans). C’est l’humain qui guide, qui fixe les termes de la valeur humaine et qui a payé pour le travail afin d’assurer la pleine possession du produit fini. Toute contribution volontaire ultérieure s’inscrit dans ce cadre de propriété et de reconnaissance nominative.</w:t>
      </w:r>
    </w:p>
    <w:p w14:paraId="245493F1" w14:textId="77777777" w:rsidR="00CA106F" w:rsidRPr="009E5F8A" w:rsidRDefault="00CA106F" w:rsidP="00CA106F">
      <w:pPr>
        <w:spacing w:before="320" w:after="160"/>
        <w:rPr>
          <w:lang w:val="fr-FR"/>
        </w:rPr>
      </w:pPr>
      <w:r w:rsidRPr="009E5F8A">
        <w:rPr>
          <w:b/>
          <w:color w:val="0A2540"/>
          <w:sz w:val="28"/>
          <w:lang w:val="fr-FR"/>
        </w:rPr>
        <w:t>1. Vision de l’organisation collaborative</w:t>
      </w:r>
    </w:p>
    <w:p w14:paraId="5BBC55EC" w14:textId="77777777" w:rsidR="00CA106F" w:rsidRPr="009E5F8A" w:rsidRDefault="00CA106F" w:rsidP="00CA106F">
      <w:pPr>
        <w:jc w:val="both"/>
        <w:rPr>
          <w:lang w:val="fr-FR"/>
        </w:rPr>
      </w:pPr>
      <w:r w:rsidRPr="009E5F8A">
        <w:rPr>
          <w:lang w:val="fr-FR"/>
        </w:rPr>
        <w:t>Le rapport principal sur les défis techniques de Jakarta et les solutions de Nusantara est conçu comme un document vivant. L’objectif est de permettre l’ajout quasi-infini de modules techniques, organisationnels, data ou méthodologiques à chaque révision mise en ligne, tout en garantissant la qualité, la traçabilité et la reconnaissance nominative de chaque participant.</w:t>
      </w:r>
    </w:p>
    <w:p w14:paraId="6339229D" w14:textId="77777777" w:rsidR="00CA106F" w:rsidRPr="009E5F8A" w:rsidRDefault="00CA106F" w:rsidP="00CA106F">
      <w:pPr>
        <w:jc w:val="both"/>
        <w:rPr>
          <w:lang w:val="fr-FR"/>
        </w:rPr>
      </w:pPr>
      <w:r w:rsidRPr="009E5F8A">
        <w:rPr>
          <w:lang w:val="fr-FR"/>
        </w:rPr>
        <w:t>Le modèle s’inspire des pratiques open-source (crédits, changelog, peer-review léger) adapté à un projet de connaissance technique sous direction humaine claire. François Dorléans reste le « benevolent director » : il fixe les priorités, valide les merges majeurs et assure la cohérence globale.</w:t>
      </w:r>
    </w:p>
    <w:p w14:paraId="21F1BFBF" w14:textId="77777777" w:rsidR="00CA106F" w:rsidRPr="009E5F8A" w:rsidRDefault="00CA106F" w:rsidP="00CA106F">
      <w:pPr>
        <w:jc w:val="both"/>
        <w:rPr>
          <w:lang w:val="fr-FR"/>
        </w:rPr>
      </w:pPr>
      <w:r w:rsidRPr="009E5F8A">
        <w:rPr>
          <w:b/>
          <w:lang w:val="fr-FR"/>
        </w:rPr>
        <w:t>Principes clés :</w:t>
      </w:r>
    </w:p>
    <w:p w14:paraId="5255CCA4" w14:textId="77777777" w:rsidR="00CA106F" w:rsidRPr="009E5F8A" w:rsidRDefault="00CA106F" w:rsidP="00CA106F">
      <w:pPr>
        <w:pStyle w:val="ListBullet"/>
        <w:tabs>
          <w:tab w:val="num" w:pos="360"/>
        </w:tabs>
        <w:ind w:left="425" w:hanging="360"/>
        <w:rPr>
          <w:lang w:val="fr-FR"/>
        </w:rPr>
      </w:pPr>
      <w:r w:rsidRPr="009E5F8A">
        <w:rPr>
          <w:lang w:val="fr-FR"/>
        </w:rPr>
        <w:t>Modularité : un A3 = un module / un point précis (évite le scope creep).</w:t>
      </w:r>
    </w:p>
    <w:p w14:paraId="409889A4" w14:textId="77777777" w:rsidR="00CA106F" w:rsidRPr="009E5F8A" w:rsidRDefault="00CA106F" w:rsidP="00CA106F">
      <w:pPr>
        <w:pStyle w:val="ListBullet"/>
        <w:tabs>
          <w:tab w:val="num" w:pos="360"/>
        </w:tabs>
        <w:ind w:left="425" w:hanging="360"/>
        <w:rPr>
          <w:lang w:val="fr-FR"/>
        </w:rPr>
      </w:pPr>
      <w:r w:rsidRPr="009E5F8A">
        <w:rPr>
          <w:lang w:val="fr-FR"/>
        </w:rPr>
        <w:t>Reconnaissance : chaque contribution validée est créditée nominativement dans l’historique de révision et dans une annexe « Contributeurs ».</w:t>
      </w:r>
    </w:p>
    <w:p w14:paraId="36E53F28" w14:textId="77777777" w:rsidR="00CA106F" w:rsidRPr="009E5F8A" w:rsidRDefault="00CA106F" w:rsidP="00CA106F">
      <w:pPr>
        <w:pStyle w:val="ListBullet"/>
        <w:tabs>
          <w:tab w:val="num" w:pos="360"/>
        </w:tabs>
        <w:ind w:left="425" w:hanging="360"/>
        <w:rPr>
          <w:lang w:val="fr-FR"/>
        </w:rPr>
      </w:pPr>
      <w:r w:rsidRPr="009E5F8A">
        <w:rPr>
          <w:lang w:val="fr-FR"/>
        </w:rPr>
        <w:t>Légèreté : process de review rapide (cible &lt; 14 jours) pour maintenir l’engagement.</w:t>
      </w:r>
    </w:p>
    <w:p w14:paraId="13B4AE90" w14:textId="77777777" w:rsidR="00CA106F" w:rsidRPr="009E5F8A" w:rsidRDefault="00CA106F" w:rsidP="00CA106F">
      <w:pPr>
        <w:pStyle w:val="ListBullet"/>
        <w:tabs>
          <w:tab w:val="num" w:pos="360"/>
        </w:tabs>
        <w:ind w:left="425" w:hanging="360"/>
        <w:rPr>
          <w:lang w:val="fr-FR"/>
        </w:rPr>
      </w:pPr>
      <w:r w:rsidRPr="009E5F8A">
        <w:rPr>
          <w:lang w:val="fr-FR"/>
        </w:rPr>
        <w:t>Traçabilité : chaque module est relié explicitement aux sections du document principal.</w:t>
      </w:r>
    </w:p>
    <w:p w14:paraId="1599734D" w14:textId="77777777" w:rsidR="00CA106F" w:rsidRPr="009E5F8A" w:rsidRDefault="00CA106F" w:rsidP="00CA106F">
      <w:pPr>
        <w:pStyle w:val="ListBullet"/>
        <w:tabs>
          <w:tab w:val="num" w:pos="360"/>
        </w:tabs>
        <w:ind w:left="425" w:hanging="360"/>
        <w:rPr>
          <w:lang w:val="fr-FR"/>
        </w:rPr>
      </w:pPr>
      <w:r w:rsidRPr="009E5F8A">
        <w:rPr>
          <w:lang w:val="fr-FR"/>
        </w:rPr>
        <w:t>Scalabilité : le même template A3 sert pour tous les types de contributions (technique, social, data, gouvernance…).</w:t>
      </w:r>
    </w:p>
    <w:p w14:paraId="3AE91229" w14:textId="77777777" w:rsidR="00CA106F" w:rsidRPr="009E5F8A" w:rsidRDefault="00CA106F" w:rsidP="00CA106F">
      <w:pPr>
        <w:spacing w:before="320" w:after="160"/>
        <w:rPr>
          <w:lang w:val="fr-FR"/>
        </w:rPr>
      </w:pPr>
      <w:r w:rsidRPr="009E5F8A">
        <w:rPr>
          <w:b/>
          <w:color w:val="0A2540"/>
          <w:sz w:val="28"/>
          <w:lang w:val="fr-FR"/>
        </w:rPr>
        <w:t>2. Principes de reconnaissance et de contribution</w:t>
      </w:r>
    </w:p>
    <w:p w14:paraId="1A6A89C9" w14:textId="77777777" w:rsidR="00CA106F" w:rsidRPr="009E5F8A" w:rsidRDefault="00CA106F" w:rsidP="00CA106F">
      <w:pPr>
        <w:jc w:val="both"/>
        <w:rPr>
          <w:lang w:val="fr-FR"/>
        </w:rPr>
      </w:pPr>
      <w:r w:rsidRPr="009E5F8A">
        <w:rPr>
          <w:lang w:val="fr-FR"/>
        </w:rPr>
        <w:t>Chaque participant qui soumet un A3 validé apparaît :</w:t>
      </w:r>
    </w:p>
    <w:p w14:paraId="0434A42A" w14:textId="77777777" w:rsidR="00CA106F" w:rsidRPr="009E5F8A" w:rsidRDefault="00CA106F" w:rsidP="00CA106F">
      <w:pPr>
        <w:pStyle w:val="ListBullet"/>
        <w:tabs>
          <w:tab w:val="num" w:pos="360"/>
        </w:tabs>
        <w:ind w:left="425" w:hanging="360"/>
        <w:rPr>
          <w:lang w:val="fr-FR"/>
        </w:rPr>
      </w:pPr>
      <w:r w:rsidRPr="009E5F8A">
        <w:rPr>
          <w:lang w:val="fr-FR"/>
        </w:rPr>
        <w:t>Dans le changelog / historique de révision du document principal (avec date et module).</w:t>
      </w:r>
    </w:p>
    <w:p w14:paraId="728A7EF3" w14:textId="77777777" w:rsidR="00CA106F" w:rsidRPr="009E5F8A" w:rsidRDefault="00CA106F" w:rsidP="00CA106F">
      <w:pPr>
        <w:pStyle w:val="ListBullet"/>
        <w:tabs>
          <w:tab w:val="num" w:pos="360"/>
        </w:tabs>
        <w:ind w:left="425" w:hanging="360"/>
        <w:rPr>
          <w:lang w:val="fr-FR"/>
        </w:rPr>
      </w:pPr>
      <w:r w:rsidRPr="009E5F8A">
        <w:rPr>
          <w:lang w:val="fr-FR"/>
        </w:rPr>
        <w:t>Dans une annexe dédiée « Contributeurs et Modules » mise à jour à chaque version majeure.</w:t>
      </w:r>
    </w:p>
    <w:p w14:paraId="46352A1C" w14:textId="77777777" w:rsidR="00CA106F" w:rsidRPr="009E5F8A" w:rsidRDefault="00CA106F" w:rsidP="00CA106F">
      <w:pPr>
        <w:pStyle w:val="ListBullet"/>
        <w:tabs>
          <w:tab w:val="num" w:pos="360"/>
        </w:tabs>
        <w:ind w:left="425" w:hanging="360"/>
        <w:rPr>
          <w:lang w:val="fr-FR"/>
        </w:rPr>
      </w:pPr>
      <w:r w:rsidRPr="009E5F8A">
        <w:rPr>
          <w:lang w:val="fr-FR"/>
        </w:rPr>
        <w:t>Éventuellement avec handle X, affiliation ou ORCID si fourni.</w:t>
      </w:r>
    </w:p>
    <w:p w14:paraId="009D5B5A" w14:textId="77777777" w:rsidR="00CA106F" w:rsidRPr="009E5F8A" w:rsidRDefault="00CA106F" w:rsidP="00CA106F">
      <w:pPr>
        <w:pStyle w:val="ListBullet"/>
        <w:tabs>
          <w:tab w:val="num" w:pos="360"/>
        </w:tabs>
        <w:ind w:left="425" w:hanging="360"/>
        <w:rPr>
          <w:lang w:val="fr-FR"/>
        </w:rPr>
      </w:pPr>
      <w:r w:rsidRPr="009E5F8A">
        <w:rPr>
          <w:lang w:val="fr-FR"/>
        </w:rPr>
        <w:t>Avec un rôle possible : Contributeur, Reviewer, Module Lead, Core Maintainer.</w:t>
      </w:r>
    </w:p>
    <w:p w14:paraId="2FC643BE" w14:textId="77777777" w:rsidR="00CA106F" w:rsidRPr="009E5F8A" w:rsidRDefault="00CA106F" w:rsidP="00CA106F">
      <w:pPr>
        <w:jc w:val="both"/>
        <w:rPr>
          <w:lang w:val="fr-FR"/>
        </w:rPr>
      </w:pPr>
      <w:r w:rsidRPr="009E5F8A">
        <w:rPr>
          <w:lang w:val="fr-FR"/>
        </w:rPr>
        <w:t>Ce mécanisme transforme le document en œuvre collective tout en préservant la direction et la propriété humaine de François Dorléans. Les volontaires sont reconnus pour leur apport de valeur, sans transfert de propriété du document maître.</w:t>
      </w:r>
    </w:p>
    <w:p w14:paraId="6421A4C4" w14:textId="77777777" w:rsidR="00CA106F" w:rsidRPr="009E5F8A" w:rsidRDefault="00CA106F" w:rsidP="00CA106F">
      <w:pPr>
        <w:spacing w:before="320" w:after="160"/>
        <w:rPr>
          <w:lang w:val="fr-FR"/>
        </w:rPr>
      </w:pPr>
      <w:r w:rsidRPr="009E5F8A">
        <w:rPr>
          <w:b/>
          <w:color w:val="0A2540"/>
          <w:sz w:val="28"/>
          <w:lang w:val="fr-FR"/>
        </w:rPr>
        <w:t>3. Mode d’emploi du Template A3 (Initiation Note)</w:t>
      </w:r>
    </w:p>
    <w:p w14:paraId="79BAE940" w14:textId="77777777" w:rsidR="00CA106F" w:rsidRPr="009E5F8A" w:rsidRDefault="00CA106F" w:rsidP="00CA106F">
      <w:pPr>
        <w:jc w:val="both"/>
        <w:rPr>
          <w:lang w:val="fr-FR"/>
        </w:rPr>
      </w:pPr>
      <w:r w:rsidRPr="009E5F8A">
        <w:rPr>
          <w:lang w:val="fr-FR"/>
        </w:rPr>
        <w:t>Le fichier Excel « A3_Initiation_Note_Nusantara_Collaborative.xlsx » contient deux feuilles :</w:t>
      </w:r>
    </w:p>
    <w:p w14:paraId="12933004" w14:textId="6AC472E0" w:rsidR="00CA106F" w:rsidRPr="009E5F8A" w:rsidRDefault="00CA106F" w:rsidP="00CA106F">
      <w:pPr>
        <w:pStyle w:val="ListBullet"/>
        <w:tabs>
          <w:tab w:val="num" w:pos="360"/>
        </w:tabs>
        <w:ind w:left="425" w:hanging="360"/>
        <w:rPr>
          <w:lang w:val="fr-FR"/>
        </w:rPr>
      </w:pPr>
      <w:r w:rsidRPr="009E5F8A">
        <w:rPr>
          <w:lang w:val="fr-FR"/>
        </w:rPr>
        <w:t xml:space="preserve">« A3 Initiation Note » : version avec exemples </w:t>
      </w:r>
      <w:r w:rsidR="007D7CC9" w:rsidRPr="009E5F8A">
        <w:rPr>
          <w:lang w:val="fr-FR"/>
        </w:rPr>
        <w:t>préremplis</w:t>
      </w:r>
      <w:r w:rsidRPr="009E5F8A">
        <w:rPr>
          <w:lang w:val="fr-FR"/>
        </w:rPr>
        <w:t xml:space="preserve"> (module type SWAC / DCS) pour illustration.</w:t>
      </w:r>
    </w:p>
    <w:p w14:paraId="33A5D55B" w14:textId="77777777" w:rsidR="00CA106F" w:rsidRPr="009E5F8A" w:rsidRDefault="00CA106F" w:rsidP="00CA106F">
      <w:pPr>
        <w:pStyle w:val="ListBullet"/>
        <w:tabs>
          <w:tab w:val="num" w:pos="360"/>
        </w:tabs>
        <w:ind w:left="425" w:hanging="360"/>
        <w:rPr>
          <w:lang w:val="fr-FR"/>
        </w:rPr>
      </w:pPr>
      <w:r w:rsidRPr="009E5F8A">
        <w:rPr>
          <w:lang w:val="fr-FR"/>
        </w:rPr>
        <w:t>« A3 Blank (à remplir) » : version vierge prête à l’emploi.</w:t>
      </w:r>
    </w:p>
    <w:p w14:paraId="7BF6DDF8" w14:textId="77777777" w:rsidR="00CA106F" w:rsidRPr="009E5F8A" w:rsidRDefault="00CA106F" w:rsidP="00CA106F">
      <w:pPr>
        <w:jc w:val="both"/>
        <w:rPr>
          <w:lang w:val="fr-FR"/>
        </w:rPr>
      </w:pPr>
      <w:r w:rsidRPr="009E5F8A">
        <w:rPr>
          <w:b/>
          <w:lang w:val="fr-FR"/>
        </w:rPr>
        <w:t>Sections du template :</w:t>
      </w:r>
    </w:p>
    <w:p w14:paraId="48AE7219" w14:textId="77777777" w:rsidR="00CA106F" w:rsidRPr="009E5F8A" w:rsidRDefault="00CA106F" w:rsidP="00CA106F">
      <w:pPr>
        <w:spacing w:before="240"/>
        <w:rPr>
          <w:lang w:val="fr-FR"/>
        </w:rPr>
      </w:pPr>
      <w:r w:rsidRPr="009E5F8A">
        <w:rPr>
          <w:b/>
          <w:color w:val="1B6B4A"/>
          <w:sz w:val="24"/>
          <w:lang w:val="fr-FR"/>
        </w:rPr>
        <w:t>3.1 Point à résoudre</w:t>
      </w:r>
    </w:p>
    <w:p w14:paraId="675BFE6C" w14:textId="77777777" w:rsidR="00CA106F" w:rsidRPr="009E5F8A" w:rsidRDefault="00CA106F" w:rsidP="00CA106F">
      <w:pPr>
        <w:jc w:val="both"/>
        <w:rPr>
          <w:lang w:val="fr-FR"/>
        </w:rPr>
      </w:pPr>
      <w:r w:rsidRPr="009E5F8A">
        <w:rPr>
          <w:lang w:val="fr-FR"/>
        </w:rPr>
        <w:t>Formuler en 1 à 3 phrases maximum le problème ou l’opportunité de contribution. Exemple : « Intégrer une option SWAC ou hybride DCS+SWAC dans le masterplan de Nusantara pour casser la boucle UHI-climatisation. »</w:t>
      </w:r>
    </w:p>
    <w:p w14:paraId="4F3C712A" w14:textId="77777777" w:rsidR="00CA106F" w:rsidRPr="009E5F8A" w:rsidRDefault="00CA106F" w:rsidP="00CA106F">
      <w:pPr>
        <w:spacing w:before="240"/>
        <w:rPr>
          <w:lang w:val="fr-FR"/>
        </w:rPr>
      </w:pPr>
      <w:r w:rsidRPr="009E5F8A">
        <w:rPr>
          <w:b/>
          <w:color w:val="1B6B4A"/>
          <w:sz w:val="24"/>
          <w:lang w:val="fr-FR"/>
        </w:rPr>
        <w:lastRenderedPageBreak/>
        <w:t>3.2 Contexte / Lien au document principal</w:t>
      </w:r>
    </w:p>
    <w:p w14:paraId="5CCE42BB" w14:textId="77777777" w:rsidR="00CA106F" w:rsidRPr="009E5F8A" w:rsidRDefault="00CA106F" w:rsidP="00CA106F">
      <w:pPr>
        <w:jc w:val="both"/>
        <w:rPr>
          <w:lang w:val="fr-FR"/>
        </w:rPr>
      </w:pPr>
      <w:r w:rsidRPr="009E5F8A">
        <w:rPr>
          <w:lang w:val="fr-FR"/>
        </w:rPr>
        <w:t>Indiquer explicitement les sections du rapport principal concernées (§2.3 UHI, §3.2 piège Singapour, §5 et §6.1 District Cooling / SWAC, etc.). Cela garantit la cohérence et facilite le merge.</w:t>
      </w:r>
    </w:p>
    <w:p w14:paraId="6FE2DE0A" w14:textId="77777777" w:rsidR="00CA106F" w:rsidRPr="009E5F8A" w:rsidRDefault="00CA106F" w:rsidP="00CA106F">
      <w:pPr>
        <w:spacing w:before="240"/>
        <w:rPr>
          <w:lang w:val="fr-FR"/>
        </w:rPr>
      </w:pPr>
      <w:r w:rsidRPr="009E5F8A">
        <w:rPr>
          <w:b/>
          <w:color w:val="1B6B4A"/>
          <w:sz w:val="24"/>
          <w:lang w:val="fr-FR"/>
        </w:rPr>
        <w:t>3.3 SWOT × PARE</w:t>
      </w:r>
    </w:p>
    <w:p w14:paraId="6D6D2B3A" w14:textId="77777777" w:rsidR="00CA106F" w:rsidRPr="009E5F8A" w:rsidRDefault="00CA106F" w:rsidP="00CA106F">
      <w:pPr>
        <w:jc w:val="both"/>
        <w:rPr>
          <w:lang w:val="fr-FR"/>
        </w:rPr>
      </w:pPr>
      <w:r w:rsidRPr="009E5F8A">
        <w:rPr>
          <w:lang w:val="fr-FR"/>
        </w:rPr>
        <w:t>Matrice croisant les 4 dimensions de risques PARE (People, Asset, Reputation, Environment) avec les 4 cases SWOT (Strengths, Weaknesses, Opportunities, Threats). Chaque case doit contenir 1 à 2 points maximum. L’objectif est de décrire l’état actuel de façon structurée avant de définir l’EFS.</w:t>
      </w:r>
    </w:p>
    <w:p w14:paraId="10204B2E" w14:textId="77777777" w:rsidR="00CA106F" w:rsidRPr="009E5F8A" w:rsidRDefault="00CA106F" w:rsidP="00CA106F">
      <w:pPr>
        <w:spacing w:before="240"/>
        <w:rPr>
          <w:lang w:val="fr-FR"/>
        </w:rPr>
      </w:pPr>
      <w:r w:rsidRPr="009E5F8A">
        <w:rPr>
          <w:b/>
          <w:color w:val="1B6B4A"/>
          <w:sz w:val="24"/>
          <w:lang w:val="fr-FR"/>
        </w:rPr>
        <w:t>3.4 État Final Recherché (EFS)</w:t>
      </w:r>
    </w:p>
    <w:p w14:paraId="41F0E7F9" w14:textId="77777777" w:rsidR="00CA106F" w:rsidRPr="009E5F8A" w:rsidRDefault="00CA106F" w:rsidP="00CA106F">
      <w:pPr>
        <w:jc w:val="both"/>
        <w:rPr>
          <w:lang w:val="fr-FR"/>
        </w:rPr>
      </w:pPr>
      <w:r w:rsidRPr="009E5F8A">
        <w:rPr>
          <w:lang w:val="fr-FR"/>
        </w:rPr>
        <w:t>Description claire et mesurable de l’état désiré après intégration du module. L’EFS doit être atteignable, daté si possible, et relié à une valeur concrète pour le document ou le projet Nusantara.</w:t>
      </w:r>
    </w:p>
    <w:p w14:paraId="52000124" w14:textId="77777777" w:rsidR="00CA106F" w:rsidRPr="009E5F8A" w:rsidRDefault="00CA106F" w:rsidP="00CA106F">
      <w:pPr>
        <w:spacing w:before="240"/>
        <w:rPr>
          <w:lang w:val="fr-FR"/>
        </w:rPr>
      </w:pPr>
      <w:r w:rsidRPr="009E5F8A">
        <w:rPr>
          <w:b/>
          <w:color w:val="1B6B4A"/>
          <w:sz w:val="24"/>
          <w:lang w:val="fr-FR"/>
        </w:rPr>
        <w:t>3.5 Évaluation des ressources PPP</w:t>
      </w:r>
    </w:p>
    <w:p w14:paraId="65389911" w14:textId="77777777" w:rsidR="00CA106F" w:rsidRPr="009E5F8A" w:rsidRDefault="00CA106F" w:rsidP="00CA106F">
      <w:pPr>
        <w:jc w:val="both"/>
        <w:rPr>
          <w:lang w:val="fr-FR"/>
        </w:rPr>
      </w:pPr>
      <w:r w:rsidRPr="009E5F8A">
        <w:rPr>
          <w:lang w:val="fr-FR"/>
        </w:rPr>
        <w:t>People (compétences et volontaires), Process (workflows de contribution et de review), Plant (outils, plateformes, données, infrastructure). Pour chaque dimension : état actuel → requis / gap → actions pour combler le gap.</w:t>
      </w:r>
    </w:p>
    <w:p w14:paraId="47551CF5" w14:textId="77777777" w:rsidR="00CA106F" w:rsidRPr="009E5F8A" w:rsidRDefault="00CA106F" w:rsidP="00CA106F">
      <w:pPr>
        <w:spacing w:before="240"/>
        <w:rPr>
          <w:lang w:val="fr-FR"/>
        </w:rPr>
      </w:pPr>
      <w:r w:rsidRPr="009E5F8A">
        <w:rPr>
          <w:b/>
          <w:color w:val="1B6B4A"/>
          <w:sz w:val="24"/>
          <w:lang w:val="fr-FR"/>
        </w:rPr>
        <w:t>3.6 Structure 4DX</w:t>
      </w:r>
    </w:p>
    <w:p w14:paraId="2744BF8B" w14:textId="77777777" w:rsidR="00CA106F" w:rsidRPr="009E5F8A" w:rsidRDefault="00CA106F" w:rsidP="00CA106F">
      <w:pPr>
        <w:jc w:val="both"/>
        <w:rPr>
          <w:lang w:val="fr-FR"/>
        </w:rPr>
      </w:pPr>
      <w:r w:rsidRPr="009E5F8A">
        <w:rPr>
          <w:lang w:val="fr-FR"/>
        </w:rPr>
        <w:t>Préparation de l’exécution selon la méthode 4 Disciplines of Execution :</w:t>
      </w:r>
    </w:p>
    <w:p w14:paraId="1374F77D" w14:textId="77777777" w:rsidR="00CA106F" w:rsidRPr="009E5F8A" w:rsidRDefault="00CA106F" w:rsidP="00CA106F">
      <w:pPr>
        <w:pStyle w:val="ListBullet"/>
        <w:tabs>
          <w:tab w:val="num" w:pos="360"/>
        </w:tabs>
        <w:ind w:left="425" w:hanging="360"/>
        <w:rPr>
          <w:lang w:val="fr-FR"/>
        </w:rPr>
      </w:pPr>
      <w:r w:rsidRPr="009E5F8A">
        <w:rPr>
          <w:lang w:val="fr-FR"/>
        </w:rPr>
        <w:t>WIG (Wildly Important Goal) : un objectif principal clair, daté, mesurable (From X to Y by When).</w:t>
      </w:r>
    </w:p>
    <w:p w14:paraId="09472E89" w14:textId="77777777" w:rsidR="00CA106F" w:rsidRPr="009E5F8A" w:rsidRDefault="00CA106F" w:rsidP="00CA106F">
      <w:pPr>
        <w:pStyle w:val="ListBullet"/>
        <w:tabs>
          <w:tab w:val="num" w:pos="360"/>
        </w:tabs>
        <w:ind w:left="425" w:hanging="360"/>
        <w:rPr>
          <w:lang w:val="fr-FR"/>
        </w:rPr>
      </w:pPr>
      <w:r w:rsidRPr="009E5F8A">
        <w:rPr>
          <w:lang w:val="fr-FR"/>
        </w:rPr>
        <w:t>Lead Measures : actions contrôlables par les volontaires (ex. nombre d’A3 soumis, heures d’analyse).</w:t>
      </w:r>
    </w:p>
    <w:p w14:paraId="0AD0F31F" w14:textId="77777777" w:rsidR="00CA106F" w:rsidRPr="009E5F8A" w:rsidRDefault="00CA106F" w:rsidP="00CA106F">
      <w:pPr>
        <w:pStyle w:val="ListBullet"/>
        <w:tabs>
          <w:tab w:val="num" w:pos="360"/>
        </w:tabs>
        <w:ind w:left="425" w:hanging="360"/>
        <w:rPr>
          <w:lang w:val="fr-FR"/>
        </w:rPr>
      </w:pPr>
      <w:r w:rsidRPr="009E5F8A">
        <w:rPr>
          <w:lang w:val="fr-FR"/>
        </w:rPr>
        <w:t>Lag Measures : résultats finaux (modules intégrés, score qualité, nombre de contributeurs reconnus).</w:t>
      </w:r>
    </w:p>
    <w:p w14:paraId="0D0BAC54" w14:textId="77777777" w:rsidR="00CA106F" w:rsidRPr="009E5F8A" w:rsidRDefault="00CA106F" w:rsidP="00CA106F">
      <w:pPr>
        <w:pStyle w:val="ListBullet"/>
        <w:tabs>
          <w:tab w:val="num" w:pos="360"/>
        </w:tabs>
        <w:ind w:left="425" w:hanging="360"/>
        <w:rPr>
          <w:lang w:val="fr-FR"/>
        </w:rPr>
      </w:pPr>
      <w:r w:rsidRPr="009E5F8A">
        <w:rPr>
          <w:lang w:val="fr-FR"/>
        </w:rPr>
        <w:t>Scoreboard : tableau simple et visible (Excel partagé, Notion, etc.) mis à jour régulièrement.</w:t>
      </w:r>
    </w:p>
    <w:p w14:paraId="13DED19C" w14:textId="77777777" w:rsidR="00CA106F" w:rsidRPr="009E5F8A" w:rsidRDefault="00CA106F" w:rsidP="00CA106F">
      <w:pPr>
        <w:pStyle w:val="ListBullet"/>
        <w:tabs>
          <w:tab w:val="num" w:pos="360"/>
        </w:tabs>
        <w:ind w:left="425" w:hanging="360"/>
        <w:rPr>
          <w:lang w:val="fr-FR"/>
        </w:rPr>
      </w:pPr>
      <w:r w:rsidRPr="009E5F8A">
        <w:rPr>
          <w:lang w:val="fr-FR"/>
        </w:rPr>
        <w:t>Cadence of Accountability : rythme de revue (recommandé : bi-hebdomadaire 30-45 min + point mensuel de reconnaissance).</w:t>
      </w:r>
    </w:p>
    <w:p w14:paraId="661BFEE6" w14:textId="77777777" w:rsidR="00CA106F" w:rsidRPr="009E5F8A" w:rsidRDefault="00CA106F" w:rsidP="00CA106F">
      <w:pPr>
        <w:spacing w:before="240"/>
        <w:rPr>
          <w:lang w:val="fr-FR"/>
        </w:rPr>
      </w:pPr>
      <w:r w:rsidRPr="009E5F8A">
        <w:rPr>
          <w:b/>
          <w:color w:val="1B6B4A"/>
          <w:sz w:val="24"/>
          <w:lang w:val="fr-FR"/>
        </w:rPr>
        <w:t>3.7 Plan d’action &amp; Reconnaissance</w:t>
      </w:r>
    </w:p>
    <w:p w14:paraId="5B0EA45B" w14:textId="77777777" w:rsidR="00CA106F" w:rsidRPr="009E5F8A" w:rsidRDefault="00CA106F" w:rsidP="00CA106F">
      <w:pPr>
        <w:jc w:val="both"/>
        <w:rPr>
          <w:lang w:val="fr-FR"/>
        </w:rPr>
      </w:pPr>
      <w:r w:rsidRPr="009E5F8A">
        <w:rPr>
          <w:lang w:val="fr-FR"/>
        </w:rPr>
        <w:t>Liste haute niveau des actions (Qui / Quoi / Quand) + rappel du mécanisme de crédit nominatif.</w:t>
      </w:r>
    </w:p>
    <w:p w14:paraId="5BC418FD" w14:textId="77777777" w:rsidR="00CA106F" w:rsidRPr="009E5F8A" w:rsidRDefault="00CA106F" w:rsidP="00CA106F">
      <w:pPr>
        <w:spacing w:before="320" w:after="160"/>
        <w:rPr>
          <w:lang w:val="fr-FR"/>
        </w:rPr>
      </w:pPr>
      <w:r w:rsidRPr="009E5F8A">
        <w:rPr>
          <w:b/>
          <w:color w:val="0A2540"/>
          <w:sz w:val="28"/>
          <w:lang w:val="fr-FR"/>
        </w:rPr>
        <w:t>4. Gouvernance et process de review / merge</w:t>
      </w:r>
    </w:p>
    <w:p w14:paraId="0CFF8B43" w14:textId="77777777" w:rsidR="00CA106F" w:rsidRPr="009E5F8A" w:rsidRDefault="00CA106F" w:rsidP="00CA106F">
      <w:pPr>
        <w:jc w:val="both"/>
        <w:rPr>
          <w:lang w:val="fr-FR"/>
        </w:rPr>
      </w:pPr>
      <w:r w:rsidRPr="009E5F8A">
        <w:rPr>
          <w:b/>
          <w:lang w:val="fr-FR"/>
        </w:rPr>
        <w:t>Cycle proposé :</w:t>
      </w:r>
    </w:p>
    <w:p w14:paraId="428E4BA7" w14:textId="77777777" w:rsidR="00CA106F" w:rsidRPr="009E5F8A" w:rsidRDefault="00CA106F" w:rsidP="00CA106F">
      <w:pPr>
        <w:pStyle w:val="ListBullet"/>
        <w:tabs>
          <w:tab w:val="num" w:pos="360"/>
        </w:tabs>
        <w:ind w:left="425" w:hanging="360"/>
        <w:rPr>
          <w:lang w:val="fr-FR"/>
        </w:rPr>
      </w:pPr>
      <w:r w:rsidRPr="009E5F8A">
        <w:rPr>
          <w:lang w:val="fr-FR"/>
        </w:rPr>
        <w:t>1. Téléchargement du template A3 Blank.</w:t>
      </w:r>
    </w:p>
    <w:p w14:paraId="67F915FD" w14:textId="77777777" w:rsidR="00CA106F" w:rsidRPr="009E5F8A" w:rsidRDefault="00CA106F" w:rsidP="00CA106F">
      <w:pPr>
        <w:pStyle w:val="ListBullet"/>
        <w:tabs>
          <w:tab w:val="num" w:pos="360"/>
        </w:tabs>
        <w:ind w:left="425" w:hanging="360"/>
        <w:rPr>
          <w:lang w:val="fr-FR"/>
        </w:rPr>
      </w:pPr>
      <w:r w:rsidRPr="009E5F8A">
        <w:rPr>
          <w:lang w:val="fr-FR"/>
        </w:rPr>
        <w:t>2. Remplissage par le volontaire (ou équipe).</w:t>
      </w:r>
    </w:p>
    <w:p w14:paraId="59CD8052" w14:textId="77777777" w:rsidR="00CA106F" w:rsidRPr="009E5F8A" w:rsidRDefault="00CA106F" w:rsidP="00CA106F">
      <w:pPr>
        <w:pStyle w:val="ListBullet"/>
        <w:tabs>
          <w:tab w:val="num" w:pos="360"/>
        </w:tabs>
        <w:ind w:left="425" w:hanging="360"/>
        <w:rPr>
          <w:lang w:val="fr-FR"/>
        </w:rPr>
      </w:pPr>
      <w:r w:rsidRPr="009E5F8A">
        <w:rPr>
          <w:lang w:val="fr-FR"/>
        </w:rPr>
        <w:t>3. Soumission (email dédié, formulaire, ou dépôt dans un espace partagé).</w:t>
      </w:r>
    </w:p>
    <w:p w14:paraId="3BC0BBD5" w14:textId="77777777" w:rsidR="00CA106F" w:rsidRPr="009E5F8A" w:rsidRDefault="00CA106F" w:rsidP="00CA106F">
      <w:pPr>
        <w:pStyle w:val="ListBullet"/>
        <w:tabs>
          <w:tab w:val="num" w:pos="360"/>
        </w:tabs>
        <w:ind w:left="425" w:hanging="360"/>
        <w:rPr>
          <w:lang w:val="fr-FR"/>
        </w:rPr>
      </w:pPr>
      <w:r w:rsidRPr="009E5F8A">
        <w:rPr>
          <w:lang w:val="fr-FR"/>
        </w:rPr>
        <w:t>4. Review par le core team ou reviewers désignés (cible &lt; 14 jours).</w:t>
      </w:r>
    </w:p>
    <w:p w14:paraId="6BF29F63" w14:textId="77777777" w:rsidR="00CA106F" w:rsidRPr="009E5F8A" w:rsidRDefault="00CA106F" w:rsidP="00CA106F">
      <w:pPr>
        <w:pStyle w:val="ListBullet"/>
        <w:tabs>
          <w:tab w:val="num" w:pos="360"/>
        </w:tabs>
        <w:ind w:left="425" w:hanging="360"/>
        <w:rPr>
          <w:lang w:val="fr-FR"/>
        </w:rPr>
      </w:pPr>
      <w:r w:rsidRPr="009E5F8A">
        <w:rPr>
          <w:lang w:val="fr-FR"/>
        </w:rPr>
        <w:t>5. Décision : Accepté / Révisions demandées / Refusé (avec feedback).</w:t>
      </w:r>
    </w:p>
    <w:p w14:paraId="55D97DF8" w14:textId="77777777" w:rsidR="00CA106F" w:rsidRPr="009E5F8A" w:rsidRDefault="00CA106F" w:rsidP="00CA106F">
      <w:pPr>
        <w:pStyle w:val="ListBullet"/>
        <w:tabs>
          <w:tab w:val="num" w:pos="360"/>
        </w:tabs>
        <w:ind w:left="425" w:hanging="360"/>
        <w:rPr>
          <w:lang w:val="fr-FR"/>
        </w:rPr>
      </w:pPr>
      <w:r w:rsidRPr="009E5F8A">
        <w:rPr>
          <w:lang w:val="fr-FR"/>
        </w:rPr>
        <w:t>6. Si accepté → intégration dans la prochaine révision du document principal + crédit nominatif + mise à jour de l’index des contributeurs.</w:t>
      </w:r>
    </w:p>
    <w:p w14:paraId="13C2673E" w14:textId="77777777" w:rsidR="00CA106F" w:rsidRPr="009E5F8A" w:rsidRDefault="00CA106F" w:rsidP="00CA106F">
      <w:pPr>
        <w:jc w:val="both"/>
        <w:rPr>
          <w:lang w:val="fr-FR"/>
        </w:rPr>
      </w:pPr>
      <w:r w:rsidRPr="009E5F8A">
        <w:rPr>
          <w:lang w:val="fr-FR"/>
        </w:rPr>
        <w:t>Le core team (sous direction de François Dorléans) conserve le droit de refuser ou de demander des modifications pour préserver la cohérence, la qualité factuelle et le respect des sources. La légèreté du process est volontaire : trop de bureaucratie tue l’engagement des volontaires.</w:t>
      </w:r>
    </w:p>
    <w:p w14:paraId="23FF6854" w14:textId="77777777" w:rsidR="00CA106F" w:rsidRPr="009E5F8A" w:rsidRDefault="00CA106F" w:rsidP="00CA106F">
      <w:pPr>
        <w:spacing w:before="320" w:after="160"/>
        <w:rPr>
          <w:lang w:val="fr-FR"/>
        </w:rPr>
      </w:pPr>
      <w:r w:rsidRPr="009E5F8A">
        <w:rPr>
          <w:b/>
          <w:color w:val="0A2540"/>
          <w:sz w:val="28"/>
          <w:lang w:val="fr-FR"/>
        </w:rPr>
        <w:t>5. Suggestions Grok pour le succès du dispositif</w:t>
      </w:r>
    </w:p>
    <w:p w14:paraId="185217D7" w14:textId="77777777" w:rsidR="00CA106F" w:rsidRPr="009E5F8A" w:rsidRDefault="00CA106F" w:rsidP="00CA106F">
      <w:pPr>
        <w:jc w:val="both"/>
        <w:rPr>
          <w:lang w:val="fr-FR"/>
        </w:rPr>
      </w:pPr>
      <w:r w:rsidRPr="009E5F8A">
        <w:rPr>
          <w:b/>
          <w:lang w:val="fr-FR"/>
        </w:rPr>
        <w:t>Gouvernance et outils :</w:t>
      </w:r>
    </w:p>
    <w:p w14:paraId="206944DC" w14:textId="77777777" w:rsidR="00CA106F" w:rsidRPr="009E5F8A" w:rsidRDefault="00CA106F" w:rsidP="00CA106F">
      <w:pPr>
        <w:pStyle w:val="ListBullet"/>
        <w:tabs>
          <w:tab w:val="num" w:pos="360"/>
        </w:tabs>
        <w:ind w:left="425" w:hanging="360"/>
        <w:rPr>
          <w:lang w:val="fr-FR"/>
        </w:rPr>
      </w:pPr>
      <w:r w:rsidRPr="009E5F8A">
        <w:rPr>
          <w:lang w:val="fr-FR"/>
        </w:rPr>
        <w:t>Maintenir une direction humaine claire (François Dorléans) tout en ouvrant largement les contributions.</w:t>
      </w:r>
    </w:p>
    <w:p w14:paraId="018376C8" w14:textId="77777777" w:rsidR="00CA106F" w:rsidRPr="009E5F8A" w:rsidRDefault="00CA106F" w:rsidP="00CA106F">
      <w:pPr>
        <w:pStyle w:val="ListBullet"/>
        <w:tabs>
          <w:tab w:val="num" w:pos="360"/>
        </w:tabs>
        <w:ind w:left="425" w:hanging="360"/>
        <w:rPr>
          <w:lang w:val="fr-FR"/>
        </w:rPr>
      </w:pPr>
      <w:r w:rsidRPr="009E5F8A">
        <w:rPr>
          <w:lang w:val="fr-FR"/>
        </w:rPr>
        <w:t>Utiliser un outil simple de versioning (Google Drive avec historique, Notion, ou GitHub/GitLab pour les plus techniques).</w:t>
      </w:r>
    </w:p>
    <w:p w14:paraId="2B707561" w14:textId="77777777" w:rsidR="00CA106F" w:rsidRPr="009E5F8A" w:rsidRDefault="00CA106F" w:rsidP="00CA106F">
      <w:pPr>
        <w:pStyle w:val="ListBullet"/>
        <w:tabs>
          <w:tab w:val="num" w:pos="360"/>
        </w:tabs>
        <w:ind w:left="425" w:hanging="360"/>
        <w:rPr>
          <w:lang w:val="fr-FR"/>
        </w:rPr>
      </w:pPr>
      <w:r w:rsidRPr="009E5F8A">
        <w:rPr>
          <w:lang w:val="fr-FR"/>
        </w:rPr>
        <w:t>Créer un scoreboard public (même un simple Google Sheet) visible par tous les volontaires : progression du WIG global + lead measures.</w:t>
      </w:r>
    </w:p>
    <w:p w14:paraId="1453CFDA" w14:textId="77777777" w:rsidR="00CA106F" w:rsidRPr="009E5F8A" w:rsidRDefault="00CA106F" w:rsidP="00CA106F">
      <w:pPr>
        <w:pStyle w:val="ListBullet"/>
        <w:tabs>
          <w:tab w:val="num" w:pos="360"/>
        </w:tabs>
        <w:ind w:left="425" w:hanging="360"/>
        <w:rPr>
          <w:lang w:val="fr-FR"/>
        </w:rPr>
      </w:pPr>
      <w:r w:rsidRPr="009E5F8A">
        <w:rPr>
          <w:lang w:val="fr-FR"/>
        </w:rPr>
        <w:t>Définir 2-3 reviewers de confiance pour accélérer les cycles.</w:t>
      </w:r>
    </w:p>
    <w:p w14:paraId="6E59935B" w14:textId="77777777" w:rsidR="00CA106F" w:rsidRPr="009E5F8A" w:rsidRDefault="00CA106F" w:rsidP="00CA106F">
      <w:pPr>
        <w:pStyle w:val="ListBullet"/>
        <w:tabs>
          <w:tab w:val="num" w:pos="360"/>
        </w:tabs>
        <w:ind w:left="425" w:hanging="360"/>
        <w:rPr>
          <w:lang w:val="fr-FR"/>
        </w:rPr>
      </w:pPr>
      <w:r w:rsidRPr="009E5F8A">
        <w:rPr>
          <w:lang w:val="fr-FR"/>
        </w:rPr>
        <w:t>Prévoir un « Hall of Contributors » ou annexe dédiée mise à jour à chaque version majeure.</w:t>
      </w:r>
    </w:p>
    <w:p w14:paraId="7D76F23E" w14:textId="77777777" w:rsidR="00CA106F" w:rsidRPr="009E5F8A" w:rsidRDefault="00CA106F" w:rsidP="00CA106F">
      <w:pPr>
        <w:jc w:val="both"/>
        <w:rPr>
          <w:lang w:val="fr-FR"/>
        </w:rPr>
      </w:pPr>
      <w:r w:rsidRPr="009E5F8A">
        <w:rPr>
          <w:b/>
          <w:lang w:val="fr-FR"/>
        </w:rPr>
        <w:t>Modules prioritaires suggérés (exemples non exhaustifs) :</w:t>
      </w:r>
    </w:p>
    <w:p w14:paraId="5738376C" w14:textId="77777777" w:rsidR="00CA106F" w:rsidRPr="009E5F8A" w:rsidRDefault="00CA106F" w:rsidP="00CA106F">
      <w:pPr>
        <w:pStyle w:val="ListBullet"/>
        <w:tabs>
          <w:tab w:val="num" w:pos="360"/>
        </w:tabs>
        <w:ind w:left="425" w:hanging="360"/>
        <w:rPr>
          <w:lang w:val="fr-FR"/>
        </w:rPr>
      </w:pPr>
      <w:r w:rsidRPr="009E5F8A">
        <w:rPr>
          <w:lang w:val="fr-FR"/>
        </w:rPr>
        <w:lastRenderedPageBreak/>
        <w:t>Faisabilité détaillée SWAC / hybride DCS+SWAC pour la zone gouvernementale (bathymétrie, CAPEX/OPEX, impact UHI).</w:t>
      </w:r>
    </w:p>
    <w:p w14:paraId="22B310AA" w14:textId="77777777" w:rsidR="00CA106F" w:rsidRPr="009E5F8A" w:rsidRDefault="00CA106F" w:rsidP="00CA106F">
      <w:pPr>
        <w:pStyle w:val="ListBullet"/>
        <w:tabs>
          <w:tab w:val="num" w:pos="360"/>
        </w:tabs>
        <w:ind w:left="425" w:hanging="360"/>
        <w:rPr>
          <w:lang w:val="fr-FR"/>
        </w:rPr>
      </w:pPr>
      <w:r w:rsidRPr="009E5F8A">
        <w:rPr>
          <w:lang w:val="fr-FR"/>
        </w:rPr>
        <w:t>Options SMR / thorium / floating pour Kalimantan (siting, non-prolifération, calendrier).</w:t>
      </w:r>
    </w:p>
    <w:p w14:paraId="4A9308D9" w14:textId="77777777" w:rsidR="00CA106F" w:rsidRPr="009E5F8A" w:rsidRDefault="00CA106F" w:rsidP="00CA106F">
      <w:pPr>
        <w:pStyle w:val="ListBullet"/>
        <w:tabs>
          <w:tab w:val="num" w:pos="360"/>
        </w:tabs>
        <w:ind w:left="425" w:hanging="360"/>
        <w:rPr>
          <w:lang w:val="fr-FR"/>
        </w:rPr>
      </w:pPr>
      <w:r w:rsidRPr="009E5F8A">
        <w:rPr>
          <w:lang w:val="fr-FR"/>
        </w:rPr>
        <w:t>Expansion du District Cooling au-delà des bâtiments gouvernementaux.</w:t>
      </w:r>
    </w:p>
    <w:p w14:paraId="05C7446D" w14:textId="77777777" w:rsidR="00CA106F" w:rsidRPr="009E5F8A" w:rsidRDefault="00CA106F" w:rsidP="00CA106F">
      <w:pPr>
        <w:pStyle w:val="ListBullet"/>
        <w:tabs>
          <w:tab w:val="num" w:pos="360"/>
        </w:tabs>
        <w:ind w:left="425" w:hanging="360"/>
        <w:rPr>
          <w:lang w:val="fr-FR"/>
        </w:rPr>
      </w:pPr>
      <w:r w:rsidRPr="009E5F8A">
        <w:rPr>
          <w:lang w:val="fr-FR"/>
        </w:rPr>
        <w:t>Monitoring de la subsidence à Jakarta (leçons et données pour le contraste avec Nusantara).</w:t>
      </w:r>
    </w:p>
    <w:p w14:paraId="4898CA09" w14:textId="77777777" w:rsidR="00CA106F" w:rsidRPr="009E5F8A" w:rsidRDefault="00CA106F" w:rsidP="00CA106F">
      <w:pPr>
        <w:pStyle w:val="ListBullet"/>
        <w:tabs>
          <w:tab w:val="num" w:pos="360"/>
        </w:tabs>
        <w:ind w:left="425" w:hanging="360"/>
        <w:rPr>
          <w:lang w:val="fr-FR"/>
        </w:rPr>
      </w:pPr>
      <w:r w:rsidRPr="009E5F8A">
        <w:rPr>
          <w:lang w:val="fr-FR"/>
        </w:rPr>
        <w:t>Modules data / visualisation (cartes, indicateurs UHI, énergie).</w:t>
      </w:r>
    </w:p>
    <w:p w14:paraId="288B9D34" w14:textId="77777777" w:rsidR="00CA106F" w:rsidRPr="009E5F8A" w:rsidRDefault="00CA106F" w:rsidP="00CA106F">
      <w:pPr>
        <w:pStyle w:val="ListBullet"/>
        <w:tabs>
          <w:tab w:val="num" w:pos="360"/>
        </w:tabs>
        <w:ind w:left="425" w:hanging="360"/>
        <w:rPr>
          <w:lang w:val="fr-FR"/>
        </w:rPr>
      </w:pPr>
      <w:r w:rsidRPr="009E5F8A">
        <w:rPr>
          <w:lang w:val="fr-FR"/>
        </w:rPr>
        <w:t>Modules gouvernance / onboarding des volontaires eux-mêmes.</w:t>
      </w:r>
    </w:p>
    <w:p w14:paraId="0F1A96E1" w14:textId="77777777" w:rsidR="00CA106F" w:rsidRPr="009E5F8A" w:rsidRDefault="00CA106F" w:rsidP="00CA106F">
      <w:pPr>
        <w:pStyle w:val="ListBullet"/>
        <w:tabs>
          <w:tab w:val="num" w:pos="360"/>
        </w:tabs>
        <w:ind w:left="425" w:hanging="360"/>
        <w:rPr>
          <w:lang w:val="fr-FR"/>
        </w:rPr>
      </w:pPr>
      <w:r w:rsidRPr="009E5F8A">
        <w:rPr>
          <w:lang w:val="fr-FR"/>
        </w:rPr>
        <w:t>Traduction ou adaptation bilingue (FR/EN/ID) de sections clés.</w:t>
      </w:r>
    </w:p>
    <w:p w14:paraId="0A1AF80E" w14:textId="77777777" w:rsidR="00CA106F" w:rsidRPr="009E5F8A" w:rsidRDefault="00CA106F" w:rsidP="00CA106F">
      <w:pPr>
        <w:pStyle w:val="ListBullet"/>
        <w:tabs>
          <w:tab w:val="num" w:pos="360"/>
        </w:tabs>
        <w:ind w:left="425" w:hanging="360"/>
        <w:rPr>
          <w:lang w:val="fr-FR"/>
        </w:rPr>
      </w:pPr>
      <w:r w:rsidRPr="009E5F8A">
        <w:rPr>
          <w:lang w:val="fr-FR"/>
        </w:rPr>
        <w:t>Analyse d’impact social et d’intégration des communautés Dayak.</w:t>
      </w:r>
    </w:p>
    <w:p w14:paraId="47AADB0C" w14:textId="77777777" w:rsidR="00CA106F" w:rsidRPr="009E5F8A" w:rsidRDefault="00CA106F" w:rsidP="00CA106F">
      <w:pPr>
        <w:jc w:val="both"/>
        <w:rPr>
          <w:lang w:val="fr-FR"/>
        </w:rPr>
      </w:pPr>
      <w:r w:rsidRPr="009E5F8A">
        <w:rPr>
          <w:b/>
          <w:lang w:val="fr-FR"/>
        </w:rPr>
        <w:t>Pour garder la scalabilité « quasi-infinie » :</w:t>
      </w:r>
    </w:p>
    <w:p w14:paraId="00A22A6A" w14:textId="77777777" w:rsidR="00CA106F" w:rsidRPr="009E5F8A" w:rsidRDefault="00CA106F" w:rsidP="00CA106F">
      <w:pPr>
        <w:pStyle w:val="ListBullet"/>
        <w:tabs>
          <w:tab w:val="num" w:pos="360"/>
        </w:tabs>
        <w:ind w:left="425" w:hanging="360"/>
        <w:rPr>
          <w:lang w:val="fr-FR"/>
        </w:rPr>
      </w:pPr>
      <w:r w:rsidRPr="009E5F8A">
        <w:rPr>
          <w:lang w:val="fr-FR"/>
        </w:rPr>
        <w:t>Un A3 = un seul module focalisé.</w:t>
      </w:r>
    </w:p>
    <w:p w14:paraId="6841C9D2" w14:textId="77777777" w:rsidR="00CA106F" w:rsidRPr="009E5F8A" w:rsidRDefault="00CA106F" w:rsidP="00CA106F">
      <w:pPr>
        <w:pStyle w:val="ListBullet"/>
        <w:tabs>
          <w:tab w:val="num" w:pos="360"/>
        </w:tabs>
        <w:ind w:left="425" w:hanging="360"/>
        <w:rPr>
          <w:lang w:val="fr-FR"/>
        </w:rPr>
      </w:pPr>
      <w:r w:rsidRPr="009E5F8A">
        <w:rPr>
          <w:lang w:val="fr-FR"/>
        </w:rPr>
        <w:t>Toujours relier explicitement au document principal.</w:t>
      </w:r>
    </w:p>
    <w:p w14:paraId="3EE868AA" w14:textId="77777777" w:rsidR="00CA106F" w:rsidRPr="009E5F8A" w:rsidRDefault="00CA106F" w:rsidP="00CA106F">
      <w:pPr>
        <w:pStyle w:val="ListBullet"/>
        <w:tabs>
          <w:tab w:val="num" w:pos="360"/>
        </w:tabs>
        <w:ind w:left="425" w:hanging="360"/>
        <w:rPr>
          <w:lang w:val="fr-FR"/>
        </w:rPr>
      </w:pPr>
      <w:r w:rsidRPr="009E5F8A">
        <w:rPr>
          <w:lang w:val="fr-FR"/>
        </w:rPr>
        <w:t>Toujours prévoir la reconnaissance nominative.</w:t>
      </w:r>
    </w:p>
    <w:p w14:paraId="75040BDC" w14:textId="77777777" w:rsidR="00CA106F" w:rsidRPr="009E5F8A" w:rsidRDefault="00CA106F" w:rsidP="00CA106F">
      <w:pPr>
        <w:pStyle w:val="ListBullet"/>
        <w:tabs>
          <w:tab w:val="num" w:pos="360"/>
        </w:tabs>
        <w:ind w:left="425" w:hanging="360"/>
        <w:rPr>
          <w:lang w:val="fr-FR"/>
        </w:rPr>
      </w:pPr>
      <w:r w:rsidRPr="009E5F8A">
        <w:rPr>
          <w:lang w:val="fr-FR"/>
        </w:rPr>
        <w:t>Mesurer le progrès via 4DX (WIG + lead/lag) plutôt que par le volume brut.</w:t>
      </w:r>
    </w:p>
    <w:p w14:paraId="3747E96A" w14:textId="77777777" w:rsidR="00CA106F" w:rsidRPr="009E5F8A" w:rsidRDefault="00CA106F" w:rsidP="00CA106F">
      <w:pPr>
        <w:spacing w:before="320" w:after="160"/>
        <w:rPr>
          <w:lang w:val="fr-FR"/>
        </w:rPr>
      </w:pPr>
      <w:r w:rsidRPr="009E5F8A">
        <w:rPr>
          <w:b/>
          <w:color w:val="0A2540"/>
          <w:sz w:val="28"/>
          <w:lang w:val="fr-FR"/>
        </w:rPr>
        <w:t>6. Lien avec le document principal et versioning</w:t>
      </w:r>
    </w:p>
    <w:p w14:paraId="5CD24FF6" w14:textId="77777777" w:rsidR="00CA106F" w:rsidRPr="009E5F8A" w:rsidRDefault="00CA106F" w:rsidP="00CA106F">
      <w:pPr>
        <w:jc w:val="both"/>
        <w:rPr>
          <w:lang w:val="fr-FR"/>
        </w:rPr>
      </w:pPr>
      <w:r w:rsidRPr="009E5F8A">
        <w:rPr>
          <w:lang w:val="fr-FR"/>
        </w:rPr>
        <w:t>Chaque module accepté doit indiquer clairement :</w:t>
      </w:r>
    </w:p>
    <w:p w14:paraId="0B528303" w14:textId="77777777" w:rsidR="00CA106F" w:rsidRPr="009E5F8A" w:rsidRDefault="00CA106F" w:rsidP="00CA106F">
      <w:pPr>
        <w:pStyle w:val="ListBullet"/>
        <w:tabs>
          <w:tab w:val="num" w:pos="360"/>
        </w:tabs>
        <w:ind w:left="425" w:hanging="360"/>
        <w:rPr>
          <w:lang w:val="fr-FR"/>
        </w:rPr>
      </w:pPr>
      <w:r w:rsidRPr="009E5F8A">
        <w:rPr>
          <w:lang w:val="fr-FR"/>
        </w:rPr>
        <w:t>Les sections du rapport principal qu’il enrichit ou complète.</w:t>
      </w:r>
    </w:p>
    <w:p w14:paraId="7778BA1E" w14:textId="77777777" w:rsidR="00CA106F" w:rsidRPr="009E5F8A" w:rsidRDefault="00CA106F" w:rsidP="00CA106F">
      <w:pPr>
        <w:pStyle w:val="ListBullet"/>
        <w:tabs>
          <w:tab w:val="num" w:pos="360"/>
        </w:tabs>
        <w:ind w:left="425" w:hanging="360"/>
        <w:rPr>
          <w:lang w:val="fr-FR"/>
        </w:rPr>
      </w:pPr>
      <w:r w:rsidRPr="009E5F8A">
        <w:rPr>
          <w:lang w:val="fr-FR"/>
        </w:rPr>
        <w:t>Le type d’ajout (nouveau paragraphe, nouvelle sous-section, données complémentaires, référence, etc.).</w:t>
      </w:r>
    </w:p>
    <w:p w14:paraId="6D88FB4B" w14:textId="77777777" w:rsidR="00CA106F" w:rsidRPr="009E5F8A" w:rsidRDefault="00CA106F" w:rsidP="00CA106F">
      <w:pPr>
        <w:pStyle w:val="ListBullet"/>
        <w:tabs>
          <w:tab w:val="num" w:pos="360"/>
        </w:tabs>
        <w:ind w:left="425" w:hanging="360"/>
        <w:rPr>
          <w:lang w:val="fr-FR"/>
        </w:rPr>
      </w:pPr>
      <w:r w:rsidRPr="009E5F8A">
        <w:rPr>
          <w:lang w:val="fr-FR"/>
        </w:rPr>
        <w:t>L’impact estimé sur la pagination / structure.</w:t>
      </w:r>
    </w:p>
    <w:p w14:paraId="3B1D69C0" w14:textId="77777777" w:rsidR="00CA106F" w:rsidRPr="009E5F8A" w:rsidRDefault="00CA106F" w:rsidP="00CA106F">
      <w:pPr>
        <w:jc w:val="both"/>
        <w:rPr>
          <w:lang w:val="fr-FR"/>
        </w:rPr>
      </w:pPr>
      <w:r w:rsidRPr="009E5F8A">
        <w:rPr>
          <w:lang w:val="fr-FR"/>
        </w:rPr>
        <w:t>Le document principal conserve sa structure de base (sections 1 à 9 + références + index). Les modules s’ajoutent soit en enrichissement des sections existantes, soit en annexes techniques numérotées, soit en nouveaux chapitres si le volume le justifie. L’index et l’annexe Contributeurs sont mis à jour à chaque révision majeure.</w:t>
      </w:r>
    </w:p>
    <w:p w14:paraId="726ECE2D" w14:textId="77777777" w:rsidR="00CA106F" w:rsidRPr="009E5F8A" w:rsidRDefault="00CA106F" w:rsidP="00CA106F">
      <w:pPr>
        <w:jc w:val="both"/>
        <w:rPr>
          <w:lang w:val="fr-FR"/>
        </w:rPr>
      </w:pPr>
      <w:r w:rsidRPr="009E5F8A">
        <w:rPr>
          <w:lang w:val="fr-FR"/>
        </w:rPr>
        <w:t>Recommandation de versioning sémantique : v1.0 (rapport initial), v1.1 / v1.2 (ajouts mineurs), v2.0 (ajouts structurels ou nouveaux chapitres majeurs).</w:t>
      </w:r>
    </w:p>
    <w:p w14:paraId="1FE895FA" w14:textId="77777777" w:rsidR="00CA106F" w:rsidRPr="009E5F8A" w:rsidRDefault="00CA106F" w:rsidP="00CA106F">
      <w:pPr>
        <w:spacing w:before="320" w:after="160"/>
        <w:rPr>
          <w:lang w:val="fr-FR"/>
        </w:rPr>
      </w:pPr>
      <w:r w:rsidRPr="009E5F8A">
        <w:rPr>
          <w:b/>
          <w:color w:val="0A2540"/>
          <w:sz w:val="28"/>
          <w:lang w:val="fr-FR"/>
        </w:rPr>
        <w:t>7. Conclusion de l’annexe</w:t>
      </w:r>
    </w:p>
    <w:p w14:paraId="38CE5470" w14:textId="77777777" w:rsidR="00CA106F" w:rsidRPr="009E5F8A" w:rsidRDefault="00CA106F" w:rsidP="00CA106F">
      <w:pPr>
        <w:jc w:val="both"/>
        <w:rPr>
          <w:lang w:val="fr-FR"/>
        </w:rPr>
      </w:pPr>
      <w:r w:rsidRPr="009E5F8A">
        <w:rPr>
          <w:lang w:val="fr-FR"/>
        </w:rPr>
        <w:t>Ce dispositif (organisation de volontaires + template A3 standardisé + 4DX + reconnaissance nominative) permet de transformer le rapport technique initial en un projet de connaissance évolutif, quasi-infini, tout en préservant la direction humaine, la propriété du produit fini et la qualité factuelle.</w:t>
      </w:r>
    </w:p>
    <w:p w14:paraId="5E8A2480" w14:textId="22A1732A" w:rsidR="00CA106F" w:rsidRPr="009E5F8A" w:rsidRDefault="00CA106F" w:rsidP="00CA106F">
      <w:pPr>
        <w:jc w:val="both"/>
        <w:rPr>
          <w:lang w:val="fr-FR"/>
        </w:rPr>
      </w:pPr>
      <w:r w:rsidRPr="009E5F8A">
        <w:rPr>
          <w:lang w:val="fr-FR"/>
        </w:rPr>
        <w:t xml:space="preserve">Le template Excel A3 est fourni séparément (fichier A3_Initiation_Note_Nusantara_Collaborative.xlsx). Il est prêt à être imprimé en A3 paysage ou utilisé en mode digital. Une feuille contient un exemple </w:t>
      </w:r>
      <w:r w:rsidR="007B1545" w:rsidRPr="009E5F8A">
        <w:rPr>
          <w:lang w:val="fr-FR"/>
        </w:rPr>
        <w:t>prérempli</w:t>
      </w:r>
      <w:r w:rsidRPr="009E5F8A">
        <w:rPr>
          <w:lang w:val="fr-FR"/>
        </w:rPr>
        <w:t xml:space="preserve"> ; l’autre est vierge pour les contributions.</w:t>
      </w:r>
    </w:p>
    <w:p w14:paraId="74A73E34" w14:textId="77777777" w:rsidR="00CA106F" w:rsidRPr="009E5F8A" w:rsidRDefault="00CA106F" w:rsidP="00CA106F">
      <w:pPr>
        <w:jc w:val="both"/>
        <w:rPr>
          <w:lang w:val="fr-FR"/>
        </w:rPr>
      </w:pPr>
      <w:r w:rsidRPr="009E5F8A">
        <w:rPr>
          <w:b/>
          <w:lang w:val="fr-FR"/>
        </w:rPr>
        <w:t>Sous direction exclusive de François Dorléans – Possession du produit fini assurée – Juillet 2026.</w:t>
      </w:r>
    </w:p>
    <w:p w14:paraId="04A573D6" w14:textId="77777777" w:rsidR="00CA106F" w:rsidRPr="009E5F8A" w:rsidRDefault="00CA106F" w:rsidP="008C068E">
      <w:pPr>
        <w:pBdr>
          <w:top w:val="single" w:sz="12" w:space="8" w:color="0A2540"/>
        </w:pBdr>
        <w:spacing w:before="200"/>
        <w:rPr>
          <w:lang w:val="fr-FR"/>
        </w:rPr>
        <w:sectPr w:rsidR="00CA106F" w:rsidRPr="009E5F8A" w:rsidSect="00CA106F">
          <w:headerReference w:type="default" r:id="rId18"/>
          <w:pgSz w:w="11906" w:h="16838"/>
          <w:pgMar w:top="1134" w:right="1134" w:bottom="1134" w:left="1134" w:header="720" w:footer="720" w:gutter="0"/>
          <w:cols w:space="720"/>
          <w:docGrid w:linePitch="360"/>
        </w:sectPr>
      </w:pPr>
    </w:p>
    <w:p w14:paraId="0212F3F6" w14:textId="77777777" w:rsidR="00CA106F" w:rsidRPr="009E5F8A" w:rsidRDefault="00CA106F" w:rsidP="00CA106F">
      <w:pPr>
        <w:pStyle w:val="Heading1"/>
        <w:rPr>
          <w:lang w:val="fr-FR"/>
        </w:rPr>
      </w:pPr>
      <w:bookmarkStart w:id="62" w:name="_Toc236489306"/>
      <w:bookmarkStart w:id="63" w:name="_Toc236489385"/>
      <w:r w:rsidRPr="009E5F8A">
        <w:rPr>
          <w:lang w:val="fr-FR"/>
        </w:rPr>
        <w:lastRenderedPageBreak/>
        <w:t>SPÉCIFICATION FONCTIONNELLE: CrowdSupport Nusantara</w:t>
      </w:r>
      <w:bookmarkEnd w:id="62"/>
      <w:bookmarkEnd w:id="63"/>
    </w:p>
    <w:p w14:paraId="2C25DBD1" w14:textId="77777777" w:rsidR="00CA106F" w:rsidRPr="009E5F8A" w:rsidRDefault="00CA106F" w:rsidP="002062BB">
      <w:pPr>
        <w:rPr>
          <w:lang w:val="fr-FR"/>
        </w:rPr>
      </w:pPr>
      <w:r w:rsidRPr="009E5F8A">
        <w:rPr>
          <w:i/>
          <w:lang w:val="fr-FR"/>
        </w:rPr>
        <w:t>Plateforme collaborative de contribution A3</w:t>
      </w:r>
      <w:r w:rsidRPr="009E5F8A">
        <w:rPr>
          <w:i/>
          <w:lang w:val="fr-FR"/>
        </w:rPr>
        <w:br/>
        <w:t>Branche engethics.org / section Projet + deck DFKPS → sous-site</w:t>
      </w:r>
    </w:p>
    <w:p w14:paraId="436EA44A" w14:textId="77777777" w:rsidR="00CA106F" w:rsidRPr="009E5F8A" w:rsidRDefault="00CA106F" w:rsidP="002062BB">
      <w:pPr>
        <w:rPr>
          <w:lang w:val="fr-FR"/>
        </w:rPr>
      </w:pPr>
      <w:r w:rsidRPr="009E5F8A">
        <w:rPr>
          <w:color w:val="546E7A"/>
          <w:sz w:val="18"/>
          <w:lang w:val="fr-FR"/>
        </w:rPr>
        <w:t>Sous direction exclusive de François Dorléans (SuperGrokPro – @FPADorleans)</w:t>
      </w:r>
      <w:r w:rsidRPr="009E5F8A">
        <w:rPr>
          <w:color w:val="546E7A"/>
          <w:sz w:val="18"/>
          <w:lang w:val="fr-FR"/>
        </w:rPr>
        <w:br/>
        <w:t>Possession du produit fini et de la plateforme assurée</w:t>
      </w:r>
    </w:p>
    <w:p w14:paraId="06A180AE" w14:textId="77777777" w:rsidR="00CA106F" w:rsidRPr="009E5F8A" w:rsidRDefault="00CA106F" w:rsidP="002062BB">
      <w:pPr>
        <w:rPr>
          <w:lang w:val="fr-FR"/>
        </w:rPr>
      </w:pPr>
      <w:r w:rsidRPr="009E5F8A">
        <w:rPr>
          <w:color w:val="546E7A"/>
          <w:sz w:val="18"/>
          <w:lang w:val="fr-FR"/>
        </w:rPr>
        <w:t>Version 0.9 – 30 juillet 2026 – Document de conception pour construction</w:t>
      </w:r>
    </w:p>
    <w:p w14:paraId="7CD245DC" w14:textId="77777777" w:rsidR="00CA106F" w:rsidRPr="009E5F8A" w:rsidRDefault="00CA106F" w:rsidP="002062BB">
      <w:pPr>
        <w:rPr>
          <w:lang w:val="fr-FR"/>
        </w:rPr>
      </w:pPr>
      <w:r w:rsidRPr="009E5F8A">
        <w:rPr>
          <w:b/>
          <w:color w:val="B71C1C"/>
          <w:lang w:val="fr-FR"/>
        </w:rPr>
        <w:t>AVERTISSEMENT LÉGAL IMPORTANT</w:t>
      </w:r>
    </w:p>
    <w:p w14:paraId="29CF0109" w14:textId="77777777" w:rsidR="00CA106F" w:rsidRPr="009E5F8A" w:rsidRDefault="00CA106F" w:rsidP="002062BB">
      <w:pPr>
        <w:rPr>
          <w:lang w:val="fr-FR"/>
        </w:rPr>
      </w:pPr>
      <w:r w:rsidRPr="009E5F8A">
        <w:rPr>
          <w:lang w:val="fr-FR"/>
        </w:rPr>
        <w:t>Ce document est une spécification fonctionnelle et technique de conception. Il ne constitue pas un conseil juridique. Le design du tunnel de paiement visant à rendre le paiement irrévocable (waiver du droit de rétractation de 14 jours) doit être validé par un avocat spécialisé en droit de la consommation et e-commerce néerlandais / européen avant toute mise en production. Les exceptions au herroepingsrecht pour les services numériques existent mais sont strictement encadrées (consentement exprès + reconnaissance de la perte du droit). La responsabilité de la conformité RGPD, fiscale (BTW) et consumériste reste entièrement celle de l’administrateur du site.</w:t>
      </w:r>
    </w:p>
    <w:p w14:paraId="05677058" w14:textId="77777777" w:rsidR="00CA106F" w:rsidRPr="009E5F8A" w:rsidRDefault="00CA106F" w:rsidP="00CA106F">
      <w:pPr>
        <w:pStyle w:val="Heading2"/>
        <w:rPr>
          <w:lang w:val="fr-FR"/>
        </w:rPr>
      </w:pPr>
      <w:bookmarkStart w:id="64" w:name="_Toc236489307"/>
      <w:bookmarkStart w:id="65" w:name="_Toc236489386"/>
      <w:r w:rsidRPr="009E5F8A">
        <w:rPr>
          <w:color w:val="0A2540"/>
          <w:sz w:val="28"/>
          <w:lang w:val="fr-FR"/>
        </w:rPr>
        <w:t>1. Vision et objectifs</w:t>
      </w:r>
      <w:bookmarkEnd w:id="64"/>
      <w:bookmarkEnd w:id="65"/>
    </w:p>
    <w:p w14:paraId="6C4D8AAD" w14:textId="77777777" w:rsidR="00CA106F" w:rsidRPr="009E5F8A" w:rsidRDefault="00CA106F" w:rsidP="002062BB">
      <w:pPr>
        <w:rPr>
          <w:lang w:val="fr-FR"/>
        </w:rPr>
      </w:pPr>
      <w:r w:rsidRPr="009E5F8A">
        <w:rPr>
          <w:lang w:val="fr-FR"/>
        </w:rPr>
        <w:t>CrowdSupport Nusantara est un sous-site de engethics.org dédié à la construction collaborative et évolutive du dossier technique Jakarta → Nusantara. Les participants achètent un profil payant orienté formation et contribution. Ils utilisent des outils assistés (éditeur A3 web) pour produire des modules attachés à des points précis du document vivant, classés en Markdown (critical / necessary / optional / parked).</w:t>
      </w:r>
    </w:p>
    <w:p w14:paraId="75CDFD37" w14:textId="77777777" w:rsidR="00CA106F" w:rsidRPr="009E5F8A" w:rsidRDefault="00CA106F" w:rsidP="002062BB">
      <w:pPr>
        <w:rPr>
          <w:lang w:val="fr-FR"/>
        </w:rPr>
      </w:pPr>
      <w:r w:rsidRPr="009E5F8A">
        <w:rPr>
          <w:lang w:val="fr-FR"/>
        </w:rPr>
        <w:t>Objectifs principaux :</w:t>
      </w:r>
    </w:p>
    <w:p w14:paraId="7A78163F" w14:textId="77777777" w:rsidR="00CA106F" w:rsidRPr="009E5F8A" w:rsidRDefault="00CA106F" w:rsidP="002062BB">
      <w:pPr>
        <w:rPr>
          <w:lang w:val="fr-FR"/>
        </w:rPr>
      </w:pPr>
      <w:r w:rsidRPr="009E5F8A">
        <w:rPr>
          <w:lang w:val="fr-FR"/>
        </w:rPr>
        <w:t>Permettre des ajouts quasi-infinis de modules de qualité tout en préservant la direction humaine et la propriété.</w:t>
      </w:r>
    </w:p>
    <w:p w14:paraId="6BFA650C" w14:textId="77777777" w:rsidR="00CA106F" w:rsidRPr="009E5F8A" w:rsidRDefault="00CA106F" w:rsidP="002062BB">
      <w:pPr>
        <w:rPr>
          <w:lang w:val="fr-FR"/>
        </w:rPr>
      </w:pPr>
      <w:r w:rsidRPr="009E5F8A">
        <w:rPr>
          <w:lang w:val="fr-FR"/>
        </w:rPr>
        <w:t>Former les contributeurs par la pratique (apprentissage par contribution structurée).</w:t>
      </w:r>
    </w:p>
    <w:p w14:paraId="00036870" w14:textId="77777777" w:rsidR="00CA106F" w:rsidRPr="009E5F8A" w:rsidRDefault="00CA106F" w:rsidP="002062BB">
      <w:pPr>
        <w:rPr>
          <w:lang w:val="fr-FR"/>
        </w:rPr>
      </w:pPr>
      <w:r w:rsidRPr="009E5F8A">
        <w:rPr>
          <w:lang w:val="fr-FR"/>
        </w:rPr>
        <w:t>Garantir la reconnaissance nominative et la traçabilité.</w:t>
      </w:r>
    </w:p>
    <w:p w14:paraId="1DCA3388" w14:textId="77777777" w:rsidR="00CA106F" w:rsidRPr="009E5F8A" w:rsidRDefault="00CA106F" w:rsidP="002062BB">
      <w:pPr>
        <w:rPr>
          <w:lang w:val="fr-FR"/>
        </w:rPr>
      </w:pPr>
      <w:r w:rsidRPr="009E5F8A">
        <w:rPr>
          <w:lang w:val="fr-FR"/>
        </w:rPr>
        <w:t>Maintenir un haut niveau de protection (Admin 2FA+, Sages protégés, RGPD strict).</w:t>
      </w:r>
    </w:p>
    <w:p w14:paraId="7127ADA4" w14:textId="77777777" w:rsidR="00CA106F" w:rsidRPr="009E5F8A" w:rsidRDefault="00CA106F" w:rsidP="002062BB">
      <w:pPr>
        <w:rPr>
          <w:lang w:val="fr-FR"/>
        </w:rPr>
      </w:pPr>
      <w:r w:rsidRPr="009E5F8A">
        <w:rPr>
          <w:lang w:val="fr-FR"/>
        </w:rPr>
        <w:t>Financer le système et l’usage d’outils IA via un modèle tokenisé transparent et européen.</w:t>
      </w:r>
    </w:p>
    <w:p w14:paraId="1A3D4DF3" w14:textId="77777777" w:rsidR="00CA106F" w:rsidRPr="009E5F8A" w:rsidRDefault="00CA106F" w:rsidP="00CA106F">
      <w:pPr>
        <w:pStyle w:val="Heading2"/>
        <w:rPr>
          <w:lang w:val="fr-FR"/>
        </w:rPr>
      </w:pPr>
      <w:bookmarkStart w:id="66" w:name="_Toc236489308"/>
      <w:bookmarkStart w:id="67" w:name="_Toc236489387"/>
      <w:r w:rsidRPr="009E5F8A">
        <w:rPr>
          <w:color w:val="0A2540"/>
          <w:sz w:val="28"/>
          <w:lang w:val="fr-FR"/>
        </w:rPr>
        <w:t>2. Rôles utilisateurs et permissions</w:t>
      </w:r>
      <w:bookmarkEnd w:id="66"/>
      <w:bookmarkEnd w:id="67"/>
    </w:p>
    <w:p w14:paraId="3CE42B95" w14:textId="77777777" w:rsidR="00CA106F" w:rsidRPr="009E5F8A" w:rsidRDefault="00CA106F" w:rsidP="00CA106F">
      <w:pPr>
        <w:pStyle w:val="Heading2"/>
        <w:rPr>
          <w:lang w:val="fr-FR"/>
        </w:rPr>
      </w:pPr>
      <w:bookmarkStart w:id="68" w:name="_Toc236489309"/>
      <w:bookmarkStart w:id="69" w:name="_Toc236489388"/>
      <w:r w:rsidRPr="009E5F8A">
        <w:rPr>
          <w:lang w:val="fr-FR"/>
        </w:rPr>
        <w:t>2.1 Administrateur (François Dorléans)</w:t>
      </w:r>
      <w:bookmarkEnd w:id="68"/>
      <w:bookmarkEnd w:id="69"/>
    </w:p>
    <w:p w14:paraId="1868D7D6" w14:textId="77777777" w:rsidR="00CA106F" w:rsidRPr="009E5F8A" w:rsidRDefault="00CA106F" w:rsidP="002062BB">
      <w:pPr>
        <w:rPr>
          <w:lang w:val="fr-FR"/>
        </w:rPr>
      </w:pPr>
      <w:r w:rsidRPr="009E5F8A">
        <w:rPr>
          <w:lang w:val="fr-FR"/>
        </w:rPr>
        <w:t>Accès total + configuration de la plateforme.</w:t>
      </w:r>
    </w:p>
    <w:p w14:paraId="092CE504" w14:textId="77777777" w:rsidR="00CA106F" w:rsidRPr="009E5F8A" w:rsidRDefault="00CA106F" w:rsidP="002062BB">
      <w:pPr>
        <w:rPr>
          <w:lang w:val="fr-FR"/>
        </w:rPr>
      </w:pPr>
      <w:r w:rsidRPr="009E5F8A">
        <w:rPr>
          <w:lang w:val="fr-FR"/>
        </w:rPr>
        <w:t>Authentification multi-facteurs forte obligatoire (minimum 2FA, recommandé : app authenticator + hardware key FIDO2 / passkey).</w:t>
      </w:r>
    </w:p>
    <w:p w14:paraId="1A5A8DBE" w14:textId="77777777" w:rsidR="00CA106F" w:rsidRPr="009E5F8A" w:rsidRDefault="00CA106F" w:rsidP="002062BB">
      <w:pPr>
        <w:rPr>
          <w:lang w:val="fr-FR"/>
        </w:rPr>
      </w:pPr>
      <w:r w:rsidRPr="009E5F8A">
        <w:rPr>
          <w:lang w:val="fr-FR"/>
        </w:rPr>
        <w:t>Gestion des Sages, validation des versions majeures, paramétrage des tarifs et de l’index token.</w:t>
      </w:r>
    </w:p>
    <w:p w14:paraId="1EFC69D9" w14:textId="77777777" w:rsidR="00CA106F" w:rsidRPr="009E5F8A" w:rsidRDefault="00CA106F" w:rsidP="002062BB">
      <w:pPr>
        <w:rPr>
          <w:lang w:val="fr-FR"/>
        </w:rPr>
      </w:pPr>
      <w:r w:rsidRPr="009E5F8A">
        <w:rPr>
          <w:lang w:val="fr-FR"/>
        </w:rPr>
        <w:t>Accès aux logs, facturation, données personnelles (sous RGPD).</w:t>
      </w:r>
    </w:p>
    <w:p w14:paraId="547569AC" w14:textId="77777777" w:rsidR="00CA106F" w:rsidRPr="009E5F8A" w:rsidRDefault="00CA106F" w:rsidP="00CA106F">
      <w:pPr>
        <w:pStyle w:val="Heading2"/>
        <w:rPr>
          <w:lang w:val="fr-FR"/>
        </w:rPr>
      </w:pPr>
      <w:bookmarkStart w:id="70" w:name="_Toc236489310"/>
      <w:bookmarkStart w:id="71" w:name="_Toc236489389"/>
      <w:r w:rsidRPr="009E5F8A">
        <w:rPr>
          <w:lang w:val="fr-FR"/>
        </w:rPr>
        <w:t>2.2 Sage (usager sage)</w:t>
      </w:r>
      <w:bookmarkEnd w:id="70"/>
      <w:bookmarkEnd w:id="71"/>
    </w:p>
    <w:p w14:paraId="3763BC08" w14:textId="77777777" w:rsidR="00CA106F" w:rsidRPr="009E5F8A" w:rsidRDefault="00CA106F" w:rsidP="002062BB">
      <w:pPr>
        <w:rPr>
          <w:lang w:val="fr-FR"/>
        </w:rPr>
      </w:pPr>
      <w:r w:rsidRPr="009E5F8A">
        <w:rPr>
          <w:lang w:val="fr-FR"/>
        </w:rPr>
        <w:t>Rôle protégé, accessible uniquement après qualification.</w:t>
      </w:r>
    </w:p>
    <w:p w14:paraId="083162DD" w14:textId="77777777" w:rsidR="00CA106F" w:rsidRPr="009E5F8A" w:rsidRDefault="00CA106F" w:rsidP="002062BB">
      <w:pPr>
        <w:rPr>
          <w:lang w:val="fr-FR"/>
        </w:rPr>
      </w:pPr>
      <w:r w:rsidRPr="009E5F8A">
        <w:rPr>
          <w:lang w:val="fr-FR"/>
        </w:rPr>
        <w:t>Critères d’éligibilité : environ 20 points de qualification non-AI + 5 A3 publiés et acceptés.</w:t>
      </w:r>
    </w:p>
    <w:p w14:paraId="69AA7799" w14:textId="77777777" w:rsidR="00CA106F" w:rsidRPr="009E5F8A" w:rsidRDefault="00CA106F" w:rsidP="002062BB">
      <w:pPr>
        <w:rPr>
          <w:lang w:val="fr-FR"/>
        </w:rPr>
      </w:pPr>
      <w:r w:rsidRPr="009E5F8A">
        <w:rPr>
          <w:lang w:val="fr-FR"/>
        </w:rPr>
        <w:t>Permissions : review des A3 soumis, classification (critical / necessary / optional / parked), validation des versions majeures, proposition de merge.</w:t>
      </w:r>
    </w:p>
    <w:p w14:paraId="4BBB1514" w14:textId="77777777" w:rsidR="00CA106F" w:rsidRPr="009E5F8A" w:rsidRDefault="00CA106F" w:rsidP="002062BB">
      <w:pPr>
        <w:rPr>
          <w:lang w:val="fr-FR"/>
        </w:rPr>
      </w:pPr>
      <w:r w:rsidRPr="009E5F8A">
        <w:rPr>
          <w:lang w:val="fr-FR"/>
        </w:rPr>
        <w:t>Protection renforcée des comptes (2FA obligatoire, monitoring d’accès).</w:t>
      </w:r>
    </w:p>
    <w:p w14:paraId="63247AB4" w14:textId="77777777" w:rsidR="00CA106F" w:rsidRPr="009E5F8A" w:rsidRDefault="00CA106F" w:rsidP="00CA106F">
      <w:pPr>
        <w:pStyle w:val="Heading2"/>
        <w:rPr>
          <w:lang w:val="fr-FR"/>
        </w:rPr>
      </w:pPr>
      <w:bookmarkStart w:id="72" w:name="_Toc236489311"/>
      <w:bookmarkStart w:id="73" w:name="_Toc236489390"/>
      <w:r w:rsidRPr="009E5F8A">
        <w:rPr>
          <w:lang w:val="fr-FR"/>
        </w:rPr>
        <w:t>2.3 Contributeur (profil payant)</w:t>
      </w:r>
      <w:bookmarkEnd w:id="72"/>
      <w:bookmarkEnd w:id="73"/>
    </w:p>
    <w:p w14:paraId="09842E73" w14:textId="77777777" w:rsidR="00CA106F" w:rsidRPr="009E5F8A" w:rsidRDefault="00CA106F" w:rsidP="002062BB">
      <w:pPr>
        <w:rPr>
          <w:lang w:val="fr-FR"/>
        </w:rPr>
      </w:pPr>
      <w:r w:rsidRPr="009E5F8A">
        <w:rPr>
          <w:lang w:val="fr-FR"/>
        </w:rPr>
        <w:t>Peut créer et éditer des brouillons A3, les attacher à un point précis du document, soumettre aux Sages.</w:t>
      </w:r>
    </w:p>
    <w:p w14:paraId="2EF6AA33" w14:textId="77777777" w:rsidR="00CA106F" w:rsidRPr="009E5F8A" w:rsidRDefault="00CA106F" w:rsidP="002062BB">
      <w:pPr>
        <w:rPr>
          <w:lang w:val="fr-FR"/>
        </w:rPr>
      </w:pPr>
      <w:r w:rsidRPr="009E5F8A">
        <w:rPr>
          <w:lang w:val="fr-FR"/>
        </w:rPr>
        <w:t>Accès aux outils d’édition assistée (SWOT-PARE layers, multi-drafts).</w:t>
      </w:r>
    </w:p>
    <w:p w14:paraId="47EC37C0" w14:textId="77777777" w:rsidR="00CA106F" w:rsidRPr="009E5F8A" w:rsidRDefault="00CA106F" w:rsidP="002062BB">
      <w:pPr>
        <w:rPr>
          <w:lang w:val="fr-FR"/>
        </w:rPr>
      </w:pPr>
      <w:r w:rsidRPr="009E5F8A">
        <w:rPr>
          <w:lang w:val="fr-FR"/>
        </w:rPr>
        <w:t>Consommation de tokens AI pour les aides à la rédaction / analyse.</w:t>
      </w:r>
    </w:p>
    <w:p w14:paraId="4C2396B1" w14:textId="77777777" w:rsidR="00CA106F" w:rsidRPr="009E5F8A" w:rsidRDefault="00CA106F" w:rsidP="002062BB">
      <w:pPr>
        <w:rPr>
          <w:lang w:val="fr-FR"/>
        </w:rPr>
      </w:pPr>
      <w:r w:rsidRPr="009E5F8A">
        <w:rPr>
          <w:lang w:val="fr-FR"/>
        </w:rPr>
        <w:t>Reconnaissance nominative dès qu’un A3 est accepté et publié.</w:t>
      </w:r>
    </w:p>
    <w:p w14:paraId="0C58EB41" w14:textId="77777777" w:rsidR="00CA106F" w:rsidRPr="009E5F8A" w:rsidRDefault="00CA106F" w:rsidP="00CA106F">
      <w:pPr>
        <w:pStyle w:val="Heading2"/>
        <w:rPr>
          <w:lang w:val="fr-FR"/>
        </w:rPr>
      </w:pPr>
      <w:bookmarkStart w:id="74" w:name="_Toc236489312"/>
      <w:bookmarkStart w:id="75" w:name="_Toc236489391"/>
      <w:r w:rsidRPr="009E5F8A">
        <w:rPr>
          <w:lang w:val="fr-FR"/>
        </w:rPr>
        <w:t>2.4 Visiteur / Guest</w:t>
      </w:r>
      <w:bookmarkEnd w:id="74"/>
      <w:bookmarkEnd w:id="75"/>
    </w:p>
    <w:p w14:paraId="4A45E61E" w14:textId="77777777" w:rsidR="00CA106F" w:rsidRPr="009E5F8A" w:rsidRDefault="00CA106F" w:rsidP="002062BB">
      <w:pPr>
        <w:rPr>
          <w:lang w:val="fr-FR"/>
        </w:rPr>
      </w:pPr>
      <w:r w:rsidRPr="009E5F8A">
        <w:rPr>
          <w:lang w:val="fr-FR"/>
        </w:rPr>
        <w:t>Accès en lecture seule aux parties publiques du document (selon classification).</w:t>
      </w:r>
    </w:p>
    <w:p w14:paraId="7699EE01" w14:textId="77777777" w:rsidR="00CA106F" w:rsidRPr="009E5F8A" w:rsidRDefault="00CA106F" w:rsidP="002062BB">
      <w:pPr>
        <w:rPr>
          <w:lang w:val="fr-FR"/>
        </w:rPr>
      </w:pPr>
      <w:r w:rsidRPr="009E5F8A">
        <w:rPr>
          <w:lang w:val="fr-FR"/>
        </w:rPr>
        <w:t>Pas d’édition, pas de contribution.</w:t>
      </w:r>
    </w:p>
    <w:p w14:paraId="0A4C85CA" w14:textId="77777777" w:rsidR="00CA106F" w:rsidRPr="009E5F8A" w:rsidRDefault="00CA106F" w:rsidP="00CA106F">
      <w:pPr>
        <w:pStyle w:val="Heading2"/>
        <w:rPr>
          <w:lang w:val="fr-FR"/>
        </w:rPr>
      </w:pPr>
      <w:bookmarkStart w:id="76" w:name="_Toc236489313"/>
      <w:bookmarkStart w:id="77" w:name="_Toc236489392"/>
      <w:r w:rsidRPr="009E5F8A">
        <w:rPr>
          <w:color w:val="0A2540"/>
          <w:sz w:val="28"/>
          <w:lang w:val="fr-FR"/>
        </w:rPr>
        <w:t>3. Système de paiement, tarifs et tokens</w:t>
      </w:r>
      <w:bookmarkEnd w:id="76"/>
      <w:bookmarkEnd w:id="77"/>
    </w:p>
    <w:p w14:paraId="34B55FBD" w14:textId="77777777" w:rsidR="00CA106F" w:rsidRPr="009E5F8A" w:rsidRDefault="00CA106F" w:rsidP="00CA106F">
      <w:pPr>
        <w:pStyle w:val="Heading2"/>
        <w:rPr>
          <w:lang w:val="fr-FR"/>
        </w:rPr>
      </w:pPr>
      <w:bookmarkStart w:id="78" w:name="_Toc236489314"/>
      <w:bookmarkStart w:id="79" w:name="_Toc236489393"/>
      <w:r w:rsidRPr="009E5F8A">
        <w:rPr>
          <w:lang w:val="fr-FR"/>
        </w:rPr>
        <w:lastRenderedPageBreak/>
        <w:t>3.1 Fournisseurs de paiement recommandés (européens prioritaires)</w:t>
      </w:r>
      <w:bookmarkEnd w:id="78"/>
      <w:bookmarkEnd w:id="79"/>
    </w:p>
    <w:p w14:paraId="2D26A8D5" w14:textId="77777777" w:rsidR="00CA106F" w:rsidRPr="009E5F8A" w:rsidRDefault="00CA106F" w:rsidP="002062BB">
      <w:pPr>
        <w:rPr>
          <w:lang w:val="fr-FR"/>
        </w:rPr>
      </w:pPr>
      <w:r w:rsidRPr="009E5F8A">
        <w:rPr>
          <w:lang w:val="fr-FR"/>
        </w:rPr>
        <w:t>Privilégier les prestataires européens pour réduire la dépendance US et maximiser iDEAL / SEPA :</w:t>
      </w:r>
    </w:p>
    <w:p w14:paraId="3F27BEAF" w14:textId="77777777" w:rsidR="00CA106F" w:rsidRPr="009E5F8A" w:rsidRDefault="00CA106F" w:rsidP="002062BB">
      <w:pPr>
        <w:rPr>
          <w:lang w:val="fr-FR"/>
        </w:rPr>
      </w:pPr>
      <w:r w:rsidRPr="009E5F8A">
        <w:rPr>
          <w:lang w:val="fr-FR"/>
        </w:rPr>
        <w:t>Mollie (siège Pays-Bas) – excellent pour iDEAL (méthode dominante aux NL), Bancontact, SEPA, cartes EEA. Pricing transparent, onboarding simple, très adapté SaaS européens.</w:t>
      </w:r>
    </w:p>
    <w:p w14:paraId="72CB081A" w14:textId="77777777" w:rsidR="00CA106F" w:rsidRPr="009E5F8A" w:rsidRDefault="00CA106F" w:rsidP="002062BB">
      <w:pPr>
        <w:rPr>
          <w:lang w:val="fr-FR"/>
        </w:rPr>
      </w:pPr>
      <w:r w:rsidRPr="009E5F8A">
        <w:rPr>
          <w:lang w:val="fr-FR"/>
        </w:rPr>
        <w:t>Adyen (siège Pays-Bas) – solution plus enterprise, couverture locale et internationale très forte.</w:t>
      </w:r>
    </w:p>
    <w:p w14:paraId="7202C70D" w14:textId="77777777" w:rsidR="00CA106F" w:rsidRPr="009E5F8A" w:rsidRDefault="00CA106F" w:rsidP="002062BB">
      <w:pPr>
        <w:rPr>
          <w:lang w:val="fr-FR"/>
        </w:rPr>
      </w:pPr>
      <w:r w:rsidRPr="009E5F8A">
        <w:rPr>
          <w:lang w:val="fr-FR"/>
        </w:rPr>
        <w:t>SEPA Direct Debit pour les prélèvements mensuels récurrents.</w:t>
      </w:r>
    </w:p>
    <w:p w14:paraId="6F9B366E" w14:textId="77777777" w:rsidR="00CA106F" w:rsidRPr="009E5F8A" w:rsidRDefault="00CA106F" w:rsidP="002062BB">
      <w:pPr>
        <w:rPr>
          <w:lang w:val="fr-FR"/>
        </w:rPr>
      </w:pPr>
      <w:r w:rsidRPr="009E5F8A">
        <w:rPr>
          <w:lang w:val="fr-FR"/>
        </w:rPr>
        <w:t>Éviter autant que possible PayPal et les flux purement US-dépendants pour les paiements principaux.</w:t>
      </w:r>
    </w:p>
    <w:p w14:paraId="30840BC7" w14:textId="77777777" w:rsidR="00CA106F" w:rsidRPr="009E5F8A" w:rsidRDefault="00CA106F" w:rsidP="00CA106F">
      <w:pPr>
        <w:pStyle w:val="Heading2"/>
        <w:rPr>
          <w:lang w:val="fr-FR"/>
        </w:rPr>
      </w:pPr>
      <w:bookmarkStart w:id="80" w:name="_Toc236489315"/>
      <w:bookmarkStart w:id="81" w:name="_Toc236489394"/>
      <w:r w:rsidRPr="009E5F8A">
        <w:rPr>
          <w:lang w:val="fr-FR"/>
        </w:rPr>
        <w:t>3.2 Structure tarifaire</w:t>
      </w:r>
      <w:bookmarkEnd w:id="80"/>
      <w:bookmarkEnd w:id="81"/>
    </w:p>
    <w:p w14:paraId="54C4A7D6" w14:textId="77777777" w:rsidR="00CA106F" w:rsidRPr="009E5F8A" w:rsidRDefault="00CA106F" w:rsidP="002062BB">
      <w:pPr>
        <w:rPr>
          <w:lang w:val="fr-FR"/>
        </w:rPr>
      </w:pPr>
      <w:r w:rsidRPr="009E5F8A">
        <w:rPr>
          <w:lang w:val="fr-FR"/>
        </w:rPr>
        <w:t>Tarif initial de lancement : 500 € + BTW (TVA néerlandaise).</w:t>
      </w:r>
    </w:p>
    <w:p w14:paraId="17678EB7" w14:textId="77777777" w:rsidR="00CA106F" w:rsidRPr="009E5F8A" w:rsidRDefault="00CA106F" w:rsidP="002062BB">
      <w:pPr>
        <w:rPr>
          <w:lang w:val="fr-FR"/>
        </w:rPr>
      </w:pPr>
      <w:r w:rsidRPr="009E5F8A">
        <w:rPr>
          <w:lang w:val="fr-FR"/>
        </w:rPr>
        <w:t>Ce montant crédite un compteur de tokens AI calculé au prix moyen des tokens IA au moment de l’achat.</w:t>
      </w:r>
    </w:p>
    <w:p w14:paraId="7ADAD160" w14:textId="77777777" w:rsidR="00CA106F" w:rsidRPr="009E5F8A" w:rsidRDefault="00CA106F" w:rsidP="002062BB">
      <w:pPr>
        <w:rPr>
          <w:lang w:val="fr-FR"/>
        </w:rPr>
      </w:pPr>
      <w:r w:rsidRPr="009E5F8A">
        <w:rPr>
          <w:lang w:val="fr-FR"/>
        </w:rPr>
        <w:t>Extensions de tokens : vendues à 1/5 du prix moyen des tokens IA + NL BTW.</w:t>
      </w:r>
    </w:p>
    <w:p w14:paraId="379F5A58" w14:textId="77777777" w:rsidR="00CA106F" w:rsidRPr="009E5F8A" w:rsidRDefault="00CA106F" w:rsidP="002062BB">
      <w:pPr>
        <w:rPr>
          <w:lang w:val="fr-FR"/>
        </w:rPr>
      </w:pPr>
      <w:r w:rsidRPr="009E5F8A">
        <w:rPr>
          <w:lang w:val="fr-FR"/>
        </w:rPr>
        <w:t>Pas d’export, pas de régime intracommunautaire (focus B2C Pays-Bas / règles néerlandaises).</w:t>
      </w:r>
    </w:p>
    <w:p w14:paraId="7759AF37" w14:textId="77777777" w:rsidR="00CA106F" w:rsidRPr="009E5F8A" w:rsidRDefault="00CA106F" w:rsidP="002062BB">
      <w:pPr>
        <w:rPr>
          <w:lang w:val="fr-FR"/>
        </w:rPr>
      </w:pPr>
      <w:r w:rsidRPr="009E5F8A">
        <w:rPr>
          <w:lang w:val="fr-FR"/>
        </w:rPr>
        <w:t>Facture automatique par usager par mois révolu (sauf exception demandée au moment du paiement).</w:t>
      </w:r>
    </w:p>
    <w:p w14:paraId="46A3DB99" w14:textId="77777777" w:rsidR="00CA106F" w:rsidRPr="009E5F8A" w:rsidRDefault="00CA106F" w:rsidP="00CA106F">
      <w:pPr>
        <w:pStyle w:val="Heading2"/>
        <w:rPr>
          <w:lang w:val="fr-FR"/>
        </w:rPr>
      </w:pPr>
      <w:bookmarkStart w:id="82" w:name="_Toc236489316"/>
      <w:bookmarkStart w:id="83" w:name="_Toc236489395"/>
      <w:r w:rsidRPr="009E5F8A">
        <w:rPr>
          <w:lang w:val="fr-FR"/>
        </w:rPr>
        <w:t>3.3 Index Token IA (transparence)</w:t>
      </w:r>
      <w:bookmarkEnd w:id="82"/>
      <w:bookmarkEnd w:id="83"/>
    </w:p>
    <w:p w14:paraId="172C57C6" w14:textId="77777777" w:rsidR="00CA106F" w:rsidRPr="009E5F8A" w:rsidRDefault="00CA106F" w:rsidP="002062BB">
      <w:pPr>
        <w:rPr>
          <w:lang w:val="fr-FR"/>
        </w:rPr>
      </w:pPr>
      <w:r w:rsidRPr="009E5F8A">
        <w:rPr>
          <w:lang w:val="fr-FR"/>
        </w:rPr>
        <w:t>Définir et publier un « Nusantara AI Token Index » simple et transparent (ex. moyenne pondérée de 3-4 modèles majeurs : Grok, Claude, GPT, Gemini – mis à jour mensuellement ou via API). Le prix d’achat initial et le prix des extensions sont calculés sur cet index affiché clairement.</w:t>
      </w:r>
    </w:p>
    <w:p w14:paraId="1B2FFC95" w14:textId="77777777" w:rsidR="00CA106F" w:rsidRPr="009E5F8A" w:rsidRDefault="00CA106F" w:rsidP="00CA106F">
      <w:pPr>
        <w:pStyle w:val="Heading2"/>
        <w:rPr>
          <w:lang w:val="fr-FR"/>
        </w:rPr>
      </w:pPr>
      <w:bookmarkStart w:id="84" w:name="_Toc236489317"/>
      <w:bookmarkStart w:id="85" w:name="_Toc236489396"/>
      <w:r w:rsidRPr="009E5F8A">
        <w:rPr>
          <w:lang w:val="fr-FR"/>
        </w:rPr>
        <w:t>3.4 Tunnel d’achat et période de réflexion (conception)</w:t>
      </w:r>
      <w:bookmarkEnd w:id="84"/>
      <w:bookmarkEnd w:id="85"/>
    </w:p>
    <w:p w14:paraId="1AF995B5" w14:textId="77777777" w:rsidR="00CA106F" w:rsidRPr="009E5F8A" w:rsidRDefault="00CA106F" w:rsidP="002062BB">
      <w:pPr>
        <w:rPr>
          <w:lang w:val="fr-FR"/>
        </w:rPr>
      </w:pPr>
      <w:r w:rsidRPr="009E5F8A">
        <w:rPr>
          <w:lang w:val="fr-FR"/>
        </w:rPr>
        <w:t>Objectif : offrir une offre de lancement spéciale avec 24 h de réflexion forcée sans accès aux fonctionnalités, puis deux étapes de vérification de choix conscient, afin de documenter un consentement éclairé et de rendre le paiement irrévocable / non remboursable (en tentant d’invoquer l’exception au droit de rétractation de 14 jours).</w:t>
      </w:r>
    </w:p>
    <w:p w14:paraId="73F0EF5B" w14:textId="77777777" w:rsidR="00CA106F" w:rsidRPr="009E5F8A" w:rsidRDefault="00CA106F" w:rsidP="002062BB">
      <w:pPr>
        <w:rPr>
          <w:lang w:val="fr-FR"/>
        </w:rPr>
      </w:pPr>
      <w:r w:rsidRPr="009E5F8A">
        <w:rPr>
          <w:b/>
          <w:lang w:val="fr-FR"/>
        </w:rPr>
        <w:t>Étapes proposées :</w:t>
      </w:r>
    </w:p>
    <w:p w14:paraId="7D1B7582" w14:textId="77777777" w:rsidR="00CA106F" w:rsidRPr="009E5F8A" w:rsidRDefault="00CA106F" w:rsidP="002062BB">
      <w:pPr>
        <w:rPr>
          <w:lang w:val="fr-FR"/>
        </w:rPr>
      </w:pPr>
      <w:r w:rsidRPr="009E5F8A">
        <w:rPr>
          <w:lang w:val="fr-FR"/>
        </w:rPr>
        <w:t>1. Présentation claire de l’offre + prix + conditions + perte éventuelle du droit de rétractation.</w:t>
      </w:r>
    </w:p>
    <w:p w14:paraId="2177FB62" w14:textId="77777777" w:rsidR="00CA106F" w:rsidRPr="009E5F8A" w:rsidRDefault="00CA106F" w:rsidP="002062BB">
      <w:pPr>
        <w:rPr>
          <w:lang w:val="fr-FR"/>
        </w:rPr>
      </w:pPr>
      <w:r w:rsidRPr="009E5F8A">
        <w:rPr>
          <w:lang w:val="fr-FR"/>
        </w:rPr>
        <w:t>2. Acceptation de l’offre de lancement → démarrage du compteur 24 h (accès fonctionnalités bloqué).</w:t>
      </w:r>
    </w:p>
    <w:p w14:paraId="12F39B85" w14:textId="77777777" w:rsidR="00CA106F" w:rsidRPr="009E5F8A" w:rsidRDefault="00CA106F" w:rsidP="002062BB">
      <w:pPr>
        <w:rPr>
          <w:lang w:val="fr-FR"/>
        </w:rPr>
      </w:pPr>
      <w:r w:rsidRPr="009E5F8A">
        <w:rPr>
          <w:lang w:val="fr-FR"/>
        </w:rPr>
        <w:t>3. Après 24 h : première confirmation consciente (« Je confirme avoir pris le temps de réflexion et je souhaite procéder »).</w:t>
      </w:r>
    </w:p>
    <w:p w14:paraId="26A20AA5" w14:textId="77777777" w:rsidR="00CA106F" w:rsidRPr="009E5F8A" w:rsidRDefault="00CA106F" w:rsidP="002062BB">
      <w:pPr>
        <w:rPr>
          <w:lang w:val="fr-FR"/>
        </w:rPr>
      </w:pPr>
      <w:r w:rsidRPr="009E5F8A">
        <w:rPr>
          <w:lang w:val="fr-FR"/>
        </w:rPr>
        <w:t>4. Deuxième confirmation consciente + reconnaissance explicite de la perte du droit de rétractation si le service commence.</w:t>
      </w:r>
    </w:p>
    <w:p w14:paraId="317F20CD" w14:textId="77777777" w:rsidR="00CA106F" w:rsidRPr="009E5F8A" w:rsidRDefault="00CA106F" w:rsidP="002062BB">
      <w:pPr>
        <w:rPr>
          <w:lang w:val="fr-FR"/>
        </w:rPr>
      </w:pPr>
      <w:r w:rsidRPr="009E5F8A">
        <w:rPr>
          <w:lang w:val="fr-FR"/>
        </w:rPr>
        <w:t>5. Paiement → accès aux fonctionnalités + crédit tokens.</w:t>
      </w:r>
    </w:p>
    <w:p w14:paraId="751A2F89" w14:textId="77777777" w:rsidR="00CA106F" w:rsidRPr="009E5F8A" w:rsidRDefault="00CA106F" w:rsidP="002062BB">
      <w:pPr>
        <w:rPr>
          <w:lang w:val="fr-FR"/>
        </w:rPr>
      </w:pPr>
      <w:r w:rsidRPr="009E5F8A">
        <w:rPr>
          <w:i/>
          <w:sz w:val="18"/>
          <w:lang w:val="fr-FR"/>
        </w:rPr>
        <w:t>ATTENTION : Cette structure doit être rédigée dans les Conditions Générales de Vente de façon non ambiguë, non pré-cochée, et validée par un avocat spécialisé. Depuis 2026, un bouton de rétractation est obligatoire lorsque le droit s’applique. Si l’exception numérique est valablement invoquée, le design doit le documenter parfaitement.</w:t>
      </w:r>
    </w:p>
    <w:p w14:paraId="089E9D86" w14:textId="77777777" w:rsidR="00CA106F" w:rsidRPr="009E5F8A" w:rsidRDefault="00CA106F" w:rsidP="00CA106F">
      <w:pPr>
        <w:pStyle w:val="Heading2"/>
        <w:rPr>
          <w:lang w:val="fr-FR"/>
        </w:rPr>
      </w:pPr>
      <w:bookmarkStart w:id="86" w:name="_Toc236489318"/>
      <w:bookmarkStart w:id="87" w:name="_Toc236489397"/>
      <w:r w:rsidRPr="009E5F8A">
        <w:rPr>
          <w:color w:val="0A2540"/>
          <w:sz w:val="28"/>
          <w:lang w:val="fr-FR"/>
        </w:rPr>
        <w:t>4. Éditeur A3 assisté par le site (construction en couches)</w:t>
      </w:r>
      <w:bookmarkEnd w:id="86"/>
      <w:bookmarkEnd w:id="87"/>
    </w:p>
    <w:p w14:paraId="480DCFCE" w14:textId="77777777" w:rsidR="00CA106F" w:rsidRPr="009E5F8A" w:rsidRDefault="00CA106F" w:rsidP="00CA106F">
      <w:pPr>
        <w:pStyle w:val="Heading2"/>
        <w:rPr>
          <w:lang w:val="fr-FR"/>
        </w:rPr>
      </w:pPr>
      <w:bookmarkStart w:id="88" w:name="_Toc236489319"/>
      <w:bookmarkStart w:id="89" w:name="_Toc236489398"/>
      <w:r w:rsidRPr="009E5F8A">
        <w:rPr>
          <w:lang w:val="fr-FR"/>
        </w:rPr>
        <w:t>4.1 Principe SWOT-PARE en 4 couches</w:t>
      </w:r>
      <w:bookmarkEnd w:id="88"/>
      <w:bookmarkEnd w:id="89"/>
    </w:p>
    <w:p w14:paraId="54E9FF88" w14:textId="77777777" w:rsidR="00CA106F" w:rsidRPr="009E5F8A" w:rsidRDefault="00CA106F" w:rsidP="002062BB">
      <w:pPr>
        <w:rPr>
          <w:lang w:val="fr-FR"/>
        </w:rPr>
      </w:pPr>
      <w:r w:rsidRPr="009E5F8A">
        <w:rPr>
          <w:lang w:val="fr-FR"/>
        </w:rPr>
        <w:t>L’utilisateur édite séparément quatre SWOT complets, un pour chaque dimension PARE :</w:t>
      </w:r>
    </w:p>
    <w:p w14:paraId="2FFCDB40" w14:textId="77777777" w:rsidR="00CA106F" w:rsidRPr="009E5F8A" w:rsidRDefault="00CA106F" w:rsidP="002062BB">
      <w:pPr>
        <w:rPr>
          <w:lang w:val="fr-FR"/>
        </w:rPr>
      </w:pPr>
      <w:r w:rsidRPr="009E5F8A">
        <w:rPr>
          <w:lang w:val="fr-FR"/>
        </w:rPr>
        <w:t>Couche P – People</w:t>
      </w:r>
    </w:p>
    <w:p w14:paraId="1273EDBC" w14:textId="77777777" w:rsidR="00CA106F" w:rsidRPr="009E5F8A" w:rsidRDefault="00CA106F" w:rsidP="002062BB">
      <w:pPr>
        <w:rPr>
          <w:lang w:val="fr-FR"/>
        </w:rPr>
      </w:pPr>
      <w:r w:rsidRPr="009E5F8A">
        <w:rPr>
          <w:lang w:val="fr-FR"/>
        </w:rPr>
        <w:t>Couche A – Asset</w:t>
      </w:r>
    </w:p>
    <w:p w14:paraId="047403B7" w14:textId="77777777" w:rsidR="00CA106F" w:rsidRPr="009E5F8A" w:rsidRDefault="00CA106F" w:rsidP="002062BB">
      <w:pPr>
        <w:rPr>
          <w:lang w:val="fr-FR"/>
        </w:rPr>
      </w:pPr>
      <w:r w:rsidRPr="009E5F8A">
        <w:rPr>
          <w:lang w:val="fr-FR"/>
        </w:rPr>
        <w:t>Couche R – Reputation</w:t>
      </w:r>
    </w:p>
    <w:p w14:paraId="71BF42B8" w14:textId="77777777" w:rsidR="00CA106F" w:rsidRPr="009E5F8A" w:rsidRDefault="00CA106F" w:rsidP="002062BB">
      <w:pPr>
        <w:rPr>
          <w:lang w:val="fr-FR"/>
        </w:rPr>
      </w:pPr>
      <w:r w:rsidRPr="009E5F8A">
        <w:rPr>
          <w:lang w:val="fr-FR"/>
        </w:rPr>
        <w:t>Couche E – Environment</w:t>
      </w:r>
    </w:p>
    <w:p w14:paraId="516F725F" w14:textId="77777777" w:rsidR="00CA106F" w:rsidRPr="009E5F8A" w:rsidRDefault="00CA106F" w:rsidP="002062BB">
      <w:pPr>
        <w:rPr>
          <w:lang w:val="fr-FR"/>
        </w:rPr>
      </w:pPr>
      <w:r w:rsidRPr="009E5F8A">
        <w:rPr>
          <w:lang w:val="fr-FR"/>
        </w:rPr>
        <w:t>Chaque couche est un SWOT classique (Strengths / Weaknesses / Opportunities / Threats). Une fonction « Compiler » assemble automatiquement les 4 couches en une matrice SWOT × PARE finale destinée au document et à la version soumise.</w:t>
      </w:r>
    </w:p>
    <w:p w14:paraId="3B838526" w14:textId="77777777" w:rsidR="00CA106F" w:rsidRPr="009E5F8A" w:rsidRDefault="00CA106F" w:rsidP="00CA106F">
      <w:pPr>
        <w:pStyle w:val="Heading2"/>
        <w:rPr>
          <w:lang w:val="fr-FR"/>
        </w:rPr>
      </w:pPr>
      <w:bookmarkStart w:id="90" w:name="_Toc236489320"/>
      <w:bookmarkStart w:id="91" w:name="_Toc236489399"/>
      <w:r w:rsidRPr="009E5F8A">
        <w:rPr>
          <w:lang w:val="fr-FR"/>
        </w:rPr>
        <w:t>4.2 Multi-brouillons et versions</w:t>
      </w:r>
      <w:bookmarkEnd w:id="90"/>
      <w:bookmarkEnd w:id="91"/>
    </w:p>
    <w:p w14:paraId="3F97C617" w14:textId="77777777" w:rsidR="00CA106F" w:rsidRPr="009E5F8A" w:rsidRDefault="00CA106F" w:rsidP="002062BB">
      <w:pPr>
        <w:rPr>
          <w:lang w:val="fr-FR"/>
        </w:rPr>
      </w:pPr>
      <w:r w:rsidRPr="009E5F8A">
        <w:rPr>
          <w:lang w:val="fr-FR"/>
        </w:rPr>
        <w:t>Possibilité de sauvegarder plusieurs ébauches successives sur plusieurs sujets.</w:t>
      </w:r>
    </w:p>
    <w:p w14:paraId="3C973E8A" w14:textId="77777777" w:rsidR="00CA106F" w:rsidRPr="009E5F8A" w:rsidRDefault="00CA106F" w:rsidP="002062BB">
      <w:pPr>
        <w:rPr>
          <w:lang w:val="fr-FR"/>
        </w:rPr>
      </w:pPr>
      <w:r w:rsidRPr="009E5F8A">
        <w:rPr>
          <w:lang w:val="fr-FR"/>
        </w:rPr>
        <w:t>Les brouillons restent privés jusqu’à soumission.</w:t>
      </w:r>
    </w:p>
    <w:p w14:paraId="11471A57" w14:textId="77777777" w:rsidR="00CA106F" w:rsidRPr="009E5F8A" w:rsidRDefault="00CA106F" w:rsidP="002062BB">
      <w:pPr>
        <w:rPr>
          <w:lang w:val="fr-FR"/>
        </w:rPr>
      </w:pPr>
      <w:r w:rsidRPr="009E5F8A">
        <w:rPr>
          <w:lang w:val="fr-FR"/>
        </w:rPr>
        <w:t>Soumission d’une version majeure → entre dans le flux de review des Sages.</w:t>
      </w:r>
    </w:p>
    <w:p w14:paraId="6FCA25CA" w14:textId="77777777" w:rsidR="00CA106F" w:rsidRPr="009E5F8A" w:rsidRDefault="00CA106F" w:rsidP="002062BB">
      <w:pPr>
        <w:rPr>
          <w:lang w:val="fr-FR"/>
        </w:rPr>
      </w:pPr>
      <w:r w:rsidRPr="009E5F8A">
        <w:rPr>
          <w:lang w:val="fr-FR"/>
        </w:rPr>
        <w:t>Une fois acceptée et publiée, l’A3 est attachée à un point précis du document Markdown (ancre / section ID).</w:t>
      </w:r>
    </w:p>
    <w:p w14:paraId="39189A57" w14:textId="77777777" w:rsidR="00CA106F" w:rsidRPr="009E5F8A" w:rsidRDefault="00CA106F" w:rsidP="00CA106F">
      <w:pPr>
        <w:pStyle w:val="Heading2"/>
        <w:rPr>
          <w:lang w:val="fr-FR"/>
        </w:rPr>
      </w:pPr>
      <w:bookmarkStart w:id="92" w:name="_Toc236489321"/>
      <w:bookmarkStart w:id="93" w:name="_Toc236489400"/>
      <w:r w:rsidRPr="009E5F8A">
        <w:rPr>
          <w:lang w:val="fr-FR"/>
        </w:rPr>
        <w:t>4.3 Attachement au document</w:t>
      </w:r>
      <w:bookmarkEnd w:id="92"/>
      <w:bookmarkEnd w:id="93"/>
    </w:p>
    <w:p w14:paraId="7FE5BAEB" w14:textId="77777777" w:rsidR="00CA106F" w:rsidRPr="009E5F8A" w:rsidRDefault="00CA106F" w:rsidP="002062BB">
      <w:pPr>
        <w:rPr>
          <w:lang w:val="fr-FR"/>
        </w:rPr>
      </w:pPr>
      <w:r w:rsidRPr="009E5F8A">
        <w:rPr>
          <w:lang w:val="fr-FR"/>
        </w:rPr>
        <w:lastRenderedPageBreak/>
        <w:t>Chaque A3 publié est lié à un identifiant de section ou de paragraphe du document maître. Cela permet de naviguer du document vers les contributions et inversement, et de maintenir la cohérence.</w:t>
      </w:r>
    </w:p>
    <w:p w14:paraId="2B40B5DE" w14:textId="77777777" w:rsidR="00CA106F" w:rsidRPr="009E5F8A" w:rsidRDefault="00CA106F" w:rsidP="00CA106F">
      <w:pPr>
        <w:pStyle w:val="Heading2"/>
        <w:rPr>
          <w:lang w:val="fr-FR"/>
        </w:rPr>
      </w:pPr>
      <w:bookmarkStart w:id="94" w:name="_Toc236489322"/>
      <w:bookmarkStart w:id="95" w:name="_Toc236489401"/>
      <w:r w:rsidRPr="009E5F8A">
        <w:rPr>
          <w:color w:val="0A2540"/>
          <w:sz w:val="28"/>
          <w:lang w:val="fr-FR"/>
        </w:rPr>
        <w:t>5. Structure du document vivant (base Markdown)</w:t>
      </w:r>
      <w:bookmarkEnd w:id="94"/>
      <w:bookmarkEnd w:id="95"/>
    </w:p>
    <w:p w14:paraId="6C8DE016" w14:textId="77777777" w:rsidR="00CA106F" w:rsidRPr="009E5F8A" w:rsidRDefault="00CA106F" w:rsidP="002062BB">
      <w:pPr>
        <w:rPr>
          <w:lang w:val="fr-FR"/>
        </w:rPr>
      </w:pPr>
      <w:r w:rsidRPr="009E5F8A">
        <w:rPr>
          <w:lang w:val="fr-FR"/>
        </w:rPr>
        <w:t>Le dossier de base sur internet est stocké et versionné en Markdown pour une classification claire :</w:t>
      </w:r>
    </w:p>
    <w:p w14:paraId="19DA8F0D" w14:textId="77777777" w:rsidR="00CA106F" w:rsidRPr="009E5F8A" w:rsidRDefault="00CA106F" w:rsidP="00CA106F">
      <w:pPr>
        <w:pStyle w:val="Heading2"/>
        <w:rPr>
          <w:lang w:val="fr-FR"/>
        </w:rPr>
      </w:pPr>
      <w:bookmarkStart w:id="96" w:name="_Toc236489323"/>
      <w:bookmarkStart w:id="97" w:name="_Toc236489402"/>
      <w:r w:rsidRPr="009E5F8A">
        <w:rPr>
          <w:lang w:val="fr-FR"/>
        </w:rPr>
        <w:t>5.1 Niveaux d’importance</w:t>
      </w:r>
      <w:bookmarkEnd w:id="96"/>
      <w:bookmarkEnd w:id="97"/>
    </w:p>
    <w:p w14:paraId="70AE9E24" w14:textId="77777777" w:rsidR="00CA106F" w:rsidRPr="009E5F8A" w:rsidRDefault="00CA106F" w:rsidP="002062BB">
      <w:pPr>
        <w:rPr>
          <w:lang w:val="fr-FR"/>
        </w:rPr>
      </w:pPr>
      <w:r w:rsidRPr="009E5F8A">
        <w:rPr>
          <w:lang w:val="fr-FR"/>
        </w:rPr>
        <w:t>critical – éléments de type process safety, sécurité, points non négociables</w:t>
      </w:r>
    </w:p>
    <w:p w14:paraId="75F5C2A9" w14:textId="77777777" w:rsidR="00CA106F" w:rsidRPr="009E5F8A" w:rsidRDefault="00CA106F" w:rsidP="002062BB">
      <w:pPr>
        <w:rPr>
          <w:lang w:val="fr-FR"/>
        </w:rPr>
      </w:pPr>
      <w:r w:rsidRPr="009E5F8A">
        <w:rPr>
          <w:lang w:val="fr-FR"/>
        </w:rPr>
        <w:t>necessary – éléments de moyenne importance, indispensables au bon fonctionnement</w:t>
      </w:r>
    </w:p>
    <w:p w14:paraId="7039C9B3" w14:textId="77777777" w:rsidR="00CA106F" w:rsidRPr="009E5F8A" w:rsidRDefault="00CA106F" w:rsidP="002062BB">
      <w:pPr>
        <w:rPr>
          <w:lang w:val="fr-FR"/>
        </w:rPr>
      </w:pPr>
      <w:r w:rsidRPr="009E5F8A">
        <w:rPr>
          <w:lang w:val="fr-FR"/>
        </w:rPr>
        <w:t>optional – éléments intéressants mais non bloquants</w:t>
      </w:r>
    </w:p>
    <w:p w14:paraId="73FBBF0D" w14:textId="77777777" w:rsidR="00CA106F" w:rsidRPr="009E5F8A" w:rsidRDefault="00CA106F" w:rsidP="00CA106F">
      <w:pPr>
        <w:pStyle w:val="Heading2"/>
        <w:rPr>
          <w:lang w:val="fr-FR"/>
        </w:rPr>
      </w:pPr>
      <w:bookmarkStart w:id="98" w:name="_Toc236489324"/>
      <w:bookmarkStart w:id="99" w:name="_Toc236489403"/>
      <w:r w:rsidRPr="009E5F8A">
        <w:rPr>
          <w:lang w:val="fr-FR"/>
        </w:rPr>
        <w:t>5.2 Zones de parking</w:t>
      </w:r>
      <w:bookmarkEnd w:id="98"/>
      <w:bookmarkEnd w:id="99"/>
    </w:p>
    <w:p w14:paraId="1BDD4CA3" w14:textId="77777777" w:rsidR="00CA106F" w:rsidRPr="009E5F8A" w:rsidRDefault="00CA106F" w:rsidP="002062BB">
      <w:pPr>
        <w:rPr>
          <w:lang w:val="fr-FR"/>
        </w:rPr>
      </w:pPr>
      <w:r w:rsidRPr="009E5F8A">
        <w:rPr>
          <w:lang w:val="fr-FR"/>
        </w:rPr>
        <w:t>long-term-parked – idées ou modules mis de côté pour une maturité ultérieure</w:t>
      </w:r>
    </w:p>
    <w:p w14:paraId="13D1C6E2" w14:textId="77777777" w:rsidR="00CA106F" w:rsidRPr="009E5F8A" w:rsidRDefault="00CA106F" w:rsidP="002062BB">
      <w:pPr>
        <w:rPr>
          <w:lang w:val="fr-FR"/>
        </w:rPr>
      </w:pPr>
      <w:r w:rsidRPr="009E5F8A">
        <w:rPr>
          <w:lang w:val="fr-FR"/>
        </w:rPr>
        <w:t>weekly-park – éléments en attente de classement / review par l’équipe des Sages</w:t>
      </w:r>
    </w:p>
    <w:p w14:paraId="71C79262" w14:textId="77777777" w:rsidR="00CA106F" w:rsidRPr="009E5F8A" w:rsidRDefault="00CA106F" w:rsidP="002062BB">
      <w:pPr>
        <w:rPr>
          <w:lang w:val="fr-FR"/>
        </w:rPr>
      </w:pPr>
      <w:r w:rsidRPr="009E5F8A">
        <w:rPr>
          <w:lang w:val="fr-FR"/>
        </w:rPr>
        <w:t>La classification est effectuée ou validée par les Sages. Un système de frontmatter YAML (tags: [critical, necessary, optional, long-term-parked, weekly-park]) est recommandé pour chaque fichier / section.</w:t>
      </w:r>
    </w:p>
    <w:p w14:paraId="1047A1FB" w14:textId="77777777" w:rsidR="00CA106F" w:rsidRPr="009E5F8A" w:rsidRDefault="00CA106F" w:rsidP="00CA106F">
      <w:pPr>
        <w:pStyle w:val="Heading2"/>
        <w:rPr>
          <w:lang w:val="fr-FR"/>
        </w:rPr>
      </w:pPr>
      <w:bookmarkStart w:id="100" w:name="_Toc236489325"/>
      <w:bookmarkStart w:id="101" w:name="_Toc236489404"/>
      <w:r w:rsidRPr="009E5F8A">
        <w:rPr>
          <w:color w:val="0A2540"/>
          <w:sz w:val="28"/>
          <w:lang w:val="fr-FR"/>
        </w:rPr>
        <w:t>6. Parcours de qualification Sage</w:t>
      </w:r>
      <w:bookmarkEnd w:id="100"/>
      <w:bookmarkEnd w:id="101"/>
    </w:p>
    <w:p w14:paraId="271DCEB6" w14:textId="77777777" w:rsidR="00CA106F" w:rsidRPr="009E5F8A" w:rsidRDefault="00CA106F" w:rsidP="002062BB">
      <w:pPr>
        <w:rPr>
          <w:lang w:val="fr-FR"/>
        </w:rPr>
      </w:pPr>
      <w:r w:rsidRPr="009E5F8A">
        <w:rPr>
          <w:lang w:val="fr-FR"/>
        </w:rPr>
        <w:t>Pour devenir Sage, un contributeur doit accumuler :</w:t>
      </w:r>
    </w:p>
    <w:p w14:paraId="3D8FDC42" w14:textId="77777777" w:rsidR="00CA106F" w:rsidRPr="009E5F8A" w:rsidRDefault="00CA106F" w:rsidP="002062BB">
      <w:pPr>
        <w:rPr>
          <w:lang w:val="fr-FR"/>
        </w:rPr>
      </w:pPr>
      <w:r w:rsidRPr="009E5F8A">
        <w:rPr>
          <w:lang w:val="fr-FR"/>
        </w:rPr>
        <w:t>Environ 20 points de qualification non-AI (exemples : peer reviews effectués, modules de formation internes complétés, contributions de qualité reconnues, participation aux sessions de cadence, etc.).</w:t>
      </w:r>
    </w:p>
    <w:p w14:paraId="53019609" w14:textId="77777777" w:rsidR="00CA106F" w:rsidRPr="009E5F8A" w:rsidRDefault="00CA106F" w:rsidP="002062BB">
      <w:pPr>
        <w:rPr>
          <w:lang w:val="fr-FR"/>
        </w:rPr>
      </w:pPr>
      <w:r w:rsidRPr="009E5F8A">
        <w:rPr>
          <w:lang w:val="fr-FR"/>
        </w:rPr>
        <w:t>ET 5 A3 publiés et acceptés.</w:t>
      </w:r>
    </w:p>
    <w:p w14:paraId="7EE5AABC" w14:textId="77777777" w:rsidR="00CA106F" w:rsidRPr="009E5F8A" w:rsidRDefault="00CA106F" w:rsidP="002062BB">
      <w:pPr>
        <w:rPr>
          <w:lang w:val="fr-FR"/>
        </w:rPr>
      </w:pPr>
      <w:r w:rsidRPr="009E5F8A">
        <w:rPr>
          <w:lang w:val="fr-FR"/>
        </w:rPr>
        <w:t>Le système de points doit être transparent, traçable et non-AI (les points ne peuvent pas être générés uniquement par des interactions avec les outils IA). L’Admin et/ou un collège de Sages existants valident l’accession au statut.</w:t>
      </w:r>
    </w:p>
    <w:p w14:paraId="4BD3FBD6" w14:textId="77777777" w:rsidR="00CA106F" w:rsidRPr="009E5F8A" w:rsidRDefault="00CA106F" w:rsidP="00CA106F">
      <w:pPr>
        <w:pStyle w:val="Heading2"/>
        <w:rPr>
          <w:lang w:val="fr-FR"/>
        </w:rPr>
      </w:pPr>
      <w:bookmarkStart w:id="102" w:name="_Toc236489326"/>
      <w:bookmarkStart w:id="103" w:name="_Toc236489405"/>
      <w:r w:rsidRPr="009E5F8A">
        <w:rPr>
          <w:color w:val="0A2540"/>
          <w:sz w:val="28"/>
          <w:lang w:val="fr-FR"/>
        </w:rPr>
        <w:t>7. Dossier de maturation TRL</w:t>
      </w:r>
      <w:bookmarkEnd w:id="102"/>
      <w:bookmarkEnd w:id="103"/>
    </w:p>
    <w:p w14:paraId="1E711F3B" w14:textId="77777777" w:rsidR="00CA106F" w:rsidRPr="009E5F8A" w:rsidRDefault="00CA106F" w:rsidP="002062BB">
      <w:pPr>
        <w:rPr>
          <w:lang w:val="fr-FR"/>
        </w:rPr>
      </w:pPr>
      <w:r w:rsidRPr="009E5F8A">
        <w:rPr>
          <w:lang w:val="fr-FR"/>
        </w:rPr>
        <w:t>Si la relation avec le projet réel Nusantara / IKN en Indonésie se concrétise et permet de maturer des éléments, un dossier TRL (Technology Readiness Level) peut être ouvert.</w:t>
      </w:r>
    </w:p>
    <w:p w14:paraId="74C7CFC8" w14:textId="77777777" w:rsidR="00CA106F" w:rsidRPr="009E5F8A" w:rsidRDefault="00CA106F" w:rsidP="002062BB">
      <w:pPr>
        <w:rPr>
          <w:lang w:val="fr-FR"/>
        </w:rPr>
      </w:pPr>
      <w:r w:rsidRPr="009E5F8A">
        <w:rPr>
          <w:lang w:val="fr-FR"/>
        </w:rPr>
        <w:t>L’échelle TRL classique (1 à 9) utilisée dans les programmes européens (Horizon) sera adaptée : de l’idée conceptuelle (TRL 1-2) jusqu’à la démonstration en environnement opérationnel (TRL 7-9). Les modules A3 peuvent être tagués avec un niveau TRL estimé et progresser au fil des contributions et validations externes.</w:t>
      </w:r>
    </w:p>
    <w:p w14:paraId="307B1216" w14:textId="77777777" w:rsidR="00CA106F" w:rsidRPr="009E5F8A" w:rsidRDefault="00CA106F" w:rsidP="00CA106F">
      <w:pPr>
        <w:pStyle w:val="Heading2"/>
        <w:rPr>
          <w:lang w:val="fr-FR"/>
        </w:rPr>
      </w:pPr>
      <w:bookmarkStart w:id="104" w:name="_Toc236489327"/>
      <w:bookmarkStart w:id="105" w:name="_Toc236489406"/>
      <w:r w:rsidRPr="009E5F8A">
        <w:rPr>
          <w:color w:val="0A2540"/>
          <w:sz w:val="28"/>
          <w:lang w:val="fr-FR"/>
        </w:rPr>
        <w:t>8. Sécurité, 2FA et conformité RGPD</w:t>
      </w:r>
      <w:bookmarkEnd w:id="104"/>
      <w:bookmarkEnd w:id="105"/>
    </w:p>
    <w:p w14:paraId="7C719527" w14:textId="77777777" w:rsidR="00CA106F" w:rsidRPr="009E5F8A" w:rsidRDefault="00CA106F" w:rsidP="002062BB">
      <w:pPr>
        <w:rPr>
          <w:lang w:val="fr-FR"/>
        </w:rPr>
      </w:pPr>
      <w:r w:rsidRPr="009E5F8A">
        <w:rPr>
          <w:lang w:val="fr-FR"/>
        </w:rPr>
        <w:t>Admin : 2FA forte minimum (recommandé FIDO2 / passkey + authenticator app).</w:t>
      </w:r>
    </w:p>
    <w:p w14:paraId="2C73FE18" w14:textId="77777777" w:rsidR="00CA106F" w:rsidRPr="009E5F8A" w:rsidRDefault="00CA106F" w:rsidP="002062BB">
      <w:pPr>
        <w:rPr>
          <w:lang w:val="fr-FR"/>
        </w:rPr>
      </w:pPr>
      <w:r w:rsidRPr="009E5F8A">
        <w:rPr>
          <w:lang w:val="fr-FR"/>
        </w:rPr>
        <w:t>Sages : 2FA obligatoire.</w:t>
      </w:r>
    </w:p>
    <w:p w14:paraId="78E79B08" w14:textId="77777777" w:rsidR="00CA106F" w:rsidRPr="009E5F8A" w:rsidRDefault="00CA106F" w:rsidP="002062BB">
      <w:pPr>
        <w:rPr>
          <w:lang w:val="fr-FR"/>
        </w:rPr>
      </w:pPr>
      <w:r w:rsidRPr="009E5F8A">
        <w:rPr>
          <w:lang w:val="fr-FR"/>
        </w:rPr>
        <w:t>Contributeurs : 2FA fortement recommandé / obligatoire selon sensibilité des données.</w:t>
      </w:r>
    </w:p>
    <w:p w14:paraId="68338A93" w14:textId="77777777" w:rsidR="00CA106F" w:rsidRPr="009E5F8A" w:rsidRDefault="00CA106F" w:rsidP="002062BB">
      <w:pPr>
        <w:rPr>
          <w:lang w:val="fr-FR"/>
        </w:rPr>
      </w:pPr>
      <w:r w:rsidRPr="009E5F8A">
        <w:rPr>
          <w:lang w:val="fr-FR"/>
        </w:rPr>
        <w:t>Principe du moindre privilège (RBAC strict).</w:t>
      </w:r>
    </w:p>
    <w:p w14:paraId="1C580F3B" w14:textId="77777777" w:rsidR="00CA106F" w:rsidRPr="009E5F8A" w:rsidRDefault="00CA106F" w:rsidP="002062BB">
      <w:pPr>
        <w:rPr>
          <w:lang w:val="fr-FR"/>
        </w:rPr>
      </w:pPr>
      <w:r w:rsidRPr="009E5F8A">
        <w:rPr>
          <w:lang w:val="fr-FR"/>
        </w:rPr>
        <w:t>Chiffrement des données au repos et en transit.</w:t>
      </w:r>
    </w:p>
    <w:p w14:paraId="794D1E80" w14:textId="77777777" w:rsidR="00CA106F" w:rsidRPr="009E5F8A" w:rsidRDefault="00CA106F" w:rsidP="002062BB">
      <w:pPr>
        <w:rPr>
          <w:lang w:val="fr-FR"/>
        </w:rPr>
      </w:pPr>
      <w:r w:rsidRPr="009E5F8A">
        <w:rPr>
          <w:lang w:val="fr-FR"/>
        </w:rPr>
        <w:t>Politique de conservation et de suppression des données personnelles claire (droit à l’effacement).</w:t>
      </w:r>
    </w:p>
    <w:p w14:paraId="1E980D10" w14:textId="77777777" w:rsidR="00CA106F" w:rsidRPr="009E5F8A" w:rsidRDefault="00CA106F" w:rsidP="002062BB">
      <w:pPr>
        <w:rPr>
          <w:lang w:val="fr-FR"/>
        </w:rPr>
      </w:pPr>
      <w:r w:rsidRPr="009E5F8A">
        <w:rPr>
          <w:lang w:val="fr-FR"/>
        </w:rPr>
        <w:t>Registre des traitements, DPO si requis, consentements granulaires.</w:t>
      </w:r>
    </w:p>
    <w:p w14:paraId="4A39DC54" w14:textId="77777777" w:rsidR="00CA106F" w:rsidRPr="009E5F8A" w:rsidRDefault="00CA106F" w:rsidP="002062BB">
      <w:pPr>
        <w:rPr>
          <w:lang w:val="fr-FR"/>
        </w:rPr>
      </w:pPr>
      <w:r w:rsidRPr="009E5F8A">
        <w:rPr>
          <w:lang w:val="fr-FR"/>
        </w:rPr>
        <w:t>Logs d’accès pour les rôles sensibles.</w:t>
      </w:r>
    </w:p>
    <w:p w14:paraId="28C6613A" w14:textId="77777777" w:rsidR="00CA106F" w:rsidRPr="009E5F8A" w:rsidRDefault="00CA106F" w:rsidP="002062BB">
      <w:pPr>
        <w:rPr>
          <w:lang w:val="fr-FR"/>
        </w:rPr>
      </w:pPr>
      <w:r w:rsidRPr="009E5F8A">
        <w:rPr>
          <w:lang w:val="fr-FR"/>
        </w:rPr>
        <w:t>Hébergement préférentiellement européen (Pays-Bas ou UE) pour faciliter la conformité.</w:t>
      </w:r>
    </w:p>
    <w:p w14:paraId="5D8CB853" w14:textId="77777777" w:rsidR="00CA106F" w:rsidRPr="009E5F8A" w:rsidRDefault="00CA106F" w:rsidP="00CA106F">
      <w:pPr>
        <w:pStyle w:val="Heading2"/>
        <w:rPr>
          <w:lang w:val="fr-FR"/>
        </w:rPr>
      </w:pPr>
      <w:bookmarkStart w:id="106" w:name="_Toc236489328"/>
      <w:bookmarkStart w:id="107" w:name="_Toc236489407"/>
      <w:r w:rsidRPr="009E5F8A">
        <w:rPr>
          <w:color w:val="0A2540"/>
          <w:sz w:val="28"/>
          <w:lang w:val="fr-FR"/>
        </w:rPr>
        <w:t>9. Suggestions d’architecture technique (non prescriptives)</w:t>
      </w:r>
      <w:bookmarkEnd w:id="106"/>
      <w:bookmarkEnd w:id="107"/>
    </w:p>
    <w:p w14:paraId="7A882237" w14:textId="77777777" w:rsidR="00CA106F" w:rsidRPr="009E5F8A" w:rsidRDefault="00CA106F" w:rsidP="002062BB">
      <w:pPr>
        <w:rPr>
          <w:lang w:val="fr-FR"/>
        </w:rPr>
      </w:pPr>
      <w:r w:rsidRPr="009E5F8A">
        <w:rPr>
          <w:lang w:val="fr-FR"/>
        </w:rPr>
        <w:t>Pistes possibles pour une branche de engethics.org :</w:t>
      </w:r>
    </w:p>
    <w:p w14:paraId="53957E8E" w14:textId="77777777" w:rsidR="00CA106F" w:rsidRPr="009E5F8A" w:rsidRDefault="00CA106F" w:rsidP="002062BB">
      <w:pPr>
        <w:rPr>
          <w:lang w:val="fr-FR"/>
        </w:rPr>
      </w:pPr>
      <w:r w:rsidRPr="009E5F8A">
        <w:rPr>
          <w:lang w:val="fr-FR"/>
        </w:rPr>
        <w:t>Frontend : framework moderne (Next.js / Nuxt / SvelteKit) permettant un éditeur riche.</w:t>
      </w:r>
    </w:p>
    <w:p w14:paraId="2925010D" w14:textId="77777777" w:rsidR="00CA106F" w:rsidRPr="009E5F8A" w:rsidRDefault="00CA106F" w:rsidP="002062BB">
      <w:pPr>
        <w:rPr>
          <w:lang w:val="fr-FR"/>
        </w:rPr>
      </w:pPr>
      <w:r w:rsidRPr="009E5F8A">
        <w:rPr>
          <w:lang w:val="fr-FR"/>
        </w:rPr>
        <w:t>Contenu document : Markdown + Git-like versioning (ou CMS headless avec historique).</w:t>
      </w:r>
    </w:p>
    <w:p w14:paraId="0BA6260B" w14:textId="77777777" w:rsidR="00CA106F" w:rsidRPr="009E5F8A" w:rsidRDefault="00CA106F" w:rsidP="002062BB">
      <w:pPr>
        <w:rPr>
          <w:lang w:val="fr-FR"/>
        </w:rPr>
      </w:pPr>
      <w:r w:rsidRPr="009E5F8A">
        <w:rPr>
          <w:lang w:val="fr-FR"/>
        </w:rPr>
        <w:t>Base de données utilisateurs / A3 / tokens : PostgreSQL (Supabase ou équivalent européen) ou solution self-hosted.</w:t>
      </w:r>
    </w:p>
    <w:p w14:paraId="000E3111" w14:textId="77777777" w:rsidR="00CA106F" w:rsidRPr="009E5F8A" w:rsidRDefault="00CA106F" w:rsidP="002062BB">
      <w:pPr>
        <w:rPr>
          <w:lang w:val="fr-FR"/>
        </w:rPr>
      </w:pPr>
      <w:r w:rsidRPr="009E5F8A">
        <w:rPr>
          <w:lang w:val="fr-FR"/>
        </w:rPr>
        <w:t>Paiements : intégration Mollie (iDEAL + SEPA + facturation) en priorité.</w:t>
      </w:r>
    </w:p>
    <w:p w14:paraId="3B7D0E13" w14:textId="77777777" w:rsidR="00CA106F" w:rsidRPr="009E5F8A" w:rsidRDefault="00CA106F" w:rsidP="002062BB">
      <w:pPr>
        <w:rPr>
          <w:lang w:val="fr-FR"/>
        </w:rPr>
      </w:pPr>
      <w:r w:rsidRPr="009E5F8A">
        <w:rPr>
          <w:lang w:val="fr-FR"/>
        </w:rPr>
        <w:t>Éditeur A3 : interface à 4 onglets (P/A/R/E) + bouton Compiler + multi-save drafts + attachement à section ID.</w:t>
      </w:r>
    </w:p>
    <w:p w14:paraId="4791D1E2" w14:textId="77777777" w:rsidR="00CA106F" w:rsidRPr="009E5F8A" w:rsidRDefault="00CA106F" w:rsidP="002062BB">
      <w:pPr>
        <w:rPr>
          <w:lang w:val="fr-FR"/>
        </w:rPr>
      </w:pPr>
      <w:r w:rsidRPr="009E5F8A">
        <w:rPr>
          <w:lang w:val="fr-FR"/>
        </w:rPr>
        <w:t>Authentification : Auth.js / Keycloak / solution avec support passkeys et 2FA.</w:t>
      </w:r>
    </w:p>
    <w:p w14:paraId="402DB08E" w14:textId="77777777" w:rsidR="00CA106F" w:rsidRPr="009E5F8A" w:rsidRDefault="00CA106F" w:rsidP="002062BB">
      <w:pPr>
        <w:rPr>
          <w:lang w:val="fr-FR"/>
        </w:rPr>
      </w:pPr>
      <w:r w:rsidRPr="009E5F8A">
        <w:rPr>
          <w:lang w:val="fr-FR"/>
        </w:rPr>
        <w:t>Hébergement : fournisseur UE (ex. Hetzner, Scaleway, OVH, ou cloud européen).</w:t>
      </w:r>
    </w:p>
    <w:p w14:paraId="33DB0F2E" w14:textId="77777777" w:rsidR="00CA106F" w:rsidRPr="009E5F8A" w:rsidRDefault="00CA106F" w:rsidP="002062BB">
      <w:pPr>
        <w:rPr>
          <w:lang w:val="fr-FR"/>
        </w:rPr>
      </w:pPr>
      <w:r w:rsidRPr="009E5F8A">
        <w:rPr>
          <w:i/>
          <w:lang w:val="fr-FR"/>
        </w:rPr>
        <w:lastRenderedPageBreak/>
        <w:t>La stack exacte reste au choix de l’Administrateur. L’important est la conformité, la sécurité et la maîtrise souveraine des données.</w:t>
      </w:r>
    </w:p>
    <w:p w14:paraId="75E21825" w14:textId="77777777" w:rsidR="00CA106F" w:rsidRPr="009E5F8A" w:rsidRDefault="00CA106F" w:rsidP="00CA106F">
      <w:pPr>
        <w:pStyle w:val="Heading2"/>
        <w:rPr>
          <w:lang w:val="fr-FR"/>
        </w:rPr>
      </w:pPr>
      <w:bookmarkStart w:id="108" w:name="_Toc236489329"/>
      <w:bookmarkStart w:id="109" w:name="_Toc236489408"/>
      <w:r w:rsidRPr="009E5F8A">
        <w:rPr>
          <w:color w:val="0A2540"/>
          <w:sz w:val="28"/>
          <w:lang w:val="fr-FR"/>
        </w:rPr>
        <w:t>10. Prochaines étapes recommandées</w:t>
      </w:r>
      <w:bookmarkEnd w:id="108"/>
      <w:bookmarkEnd w:id="109"/>
    </w:p>
    <w:p w14:paraId="7DC54BBC" w14:textId="77777777" w:rsidR="00CA106F" w:rsidRPr="009E5F8A" w:rsidRDefault="00CA106F" w:rsidP="002062BB">
      <w:pPr>
        <w:rPr>
          <w:lang w:val="fr-FR"/>
        </w:rPr>
      </w:pPr>
      <w:r w:rsidRPr="009E5F8A">
        <w:rPr>
          <w:lang w:val="fr-FR"/>
        </w:rPr>
        <w:t>1. Faire valider le tunnel de paiement et les CGV par un avocat spécialisé e-commerce / droit consommation NL.</w:t>
      </w:r>
    </w:p>
    <w:p w14:paraId="14F754B9" w14:textId="77777777" w:rsidR="00CA106F" w:rsidRPr="009E5F8A" w:rsidRDefault="00CA106F" w:rsidP="002062BB">
      <w:pPr>
        <w:rPr>
          <w:lang w:val="fr-FR"/>
        </w:rPr>
      </w:pPr>
      <w:r w:rsidRPr="009E5F8A">
        <w:rPr>
          <w:lang w:val="fr-FR"/>
        </w:rPr>
        <w:t>2. Choisir et contractualiser le prestataire de paiement (Mollie recommandé en premier).</w:t>
      </w:r>
    </w:p>
    <w:p w14:paraId="6F7A068F" w14:textId="77777777" w:rsidR="00CA106F" w:rsidRPr="009E5F8A" w:rsidRDefault="00CA106F" w:rsidP="002062BB">
      <w:pPr>
        <w:rPr>
          <w:lang w:val="fr-FR"/>
        </w:rPr>
      </w:pPr>
      <w:r w:rsidRPr="009E5F8A">
        <w:rPr>
          <w:lang w:val="fr-FR"/>
        </w:rPr>
        <w:t>3. Définir formellement l’AI Token Index et sa méthode de calcul / publication.</w:t>
      </w:r>
    </w:p>
    <w:p w14:paraId="375A957C" w14:textId="77777777" w:rsidR="00CA106F" w:rsidRPr="009E5F8A" w:rsidRDefault="00CA106F" w:rsidP="002062BB">
      <w:pPr>
        <w:rPr>
          <w:lang w:val="fr-FR"/>
        </w:rPr>
      </w:pPr>
      <w:r w:rsidRPr="009E5F8A">
        <w:rPr>
          <w:lang w:val="fr-FR"/>
        </w:rPr>
        <w:t>4. Prototyper l’éditeur A3 web (4 layers + compile + multi-draft).</w:t>
      </w:r>
    </w:p>
    <w:p w14:paraId="2925815A" w14:textId="77777777" w:rsidR="00CA106F" w:rsidRPr="009E5F8A" w:rsidRDefault="00CA106F" w:rsidP="002062BB">
      <w:pPr>
        <w:rPr>
          <w:lang w:val="fr-FR"/>
        </w:rPr>
      </w:pPr>
      <w:r w:rsidRPr="009E5F8A">
        <w:rPr>
          <w:lang w:val="fr-FR"/>
        </w:rPr>
        <w:t>5. Mettre en place la structure Markdown + tags + système de parking.</w:t>
      </w:r>
    </w:p>
    <w:p w14:paraId="1EE0223A" w14:textId="77777777" w:rsidR="00CA106F" w:rsidRPr="009E5F8A" w:rsidRDefault="00CA106F" w:rsidP="002062BB">
      <w:pPr>
        <w:rPr>
          <w:lang w:val="fr-FR"/>
        </w:rPr>
      </w:pPr>
      <w:r w:rsidRPr="009E5F8A">
        <w:rPr>
          <w:lang w:val="fr-FR"/>
        </w:rPr>
        <w:t>6. Définir le barème exact des 20 points de qualification Sage.</w:t>
      </w:r>
    </w:p>
    <w:p w14:paraId="178DDE52" w14:textId="77777777" w:rsidR="00CA106F" w:rsidRPr="009E5F8A" w:rsidRDefault="00CA106F" w:rsidP="002062BB">
      <w:pPr>
        <w:rPr>
          <w:lang w:val="fr-FR"/>
        </w:rPr>
      </w:pPr>
      <w:r w:rsidRPr="009E5F8A">
        <w:rPr>
          <w:lang w:val="fr-FR"/>
        </w:rPr>
        <w:t>7. Implémenter 2FA forte pour Admin et Sages.</w:t>
      </w:r>
    </w:p>
    <w:p w14:paraId="38969BB3" w14:textId="77777777" w:rsidR="00CA106F" w:rsidRPr="009E5F8A" w:rsidRDefault="00CA106F" w:rsidP="002062BB">
      <w:pPr>
        <w:rPr>
          <w:lang w:val="fr-FR"/>
        </w:rPr>
      </w:pPr>
      <w:r w:rsidRPr="009E5F8A">
        <w:rPr>
          <w:lang w:val="fr-FR"/>
        </w:rPr>
        <w:t>8. Rédiger la politique RGPD et les mentions légales du sous-site.</w:t>
      </w:r>
    </w:p>
    <w:p w14:paraId="04DFE671" w14:textId="77777777" w:rsidR="00CA106F" w:rsidRPr="009E5F8A" w:rsidRDefault="00CA106F" w:rsidP="002062BB">
      <w:pPr>
        <w:rPr>
          <w:lang w:val="fr-FR"/>
        </w:rPr>
      </w:pPr>
      <w:r w:rsidRPr="009E5F8A">
        <w:rPr>
          <w:color w:val="1B6B4A"/>
          <w:sz w:val="18"/>
          <w:lang w:val="fr-FR"/>
        </w:rPr>
        <w:t>────────────────────────────────────────────────</w:t>
      </w:r>
    </w:p>
    <w:p w14:paraId="1C982A4F" w14:textId="77777777" w:rsidR="00CA106F" w:rsidRPr="009E5F8A" w:rsidRDefault="00CA106F" w:rsidP="002062BB">
      <w:pPr>
        <w:rPr>
          <w:lang w:val="fr-FR"/>
        </w:rPr>
      </w:pPr>
      <w:r w:rsidRPr="009E5F8A">
        <w:rPr>
          <w:i/>
          <w:sz w:val="18"/>
          <w:lang w:val="fr-FR"/>
        </w:rPr>
        <w:t>Document produit sous la direction exclusive de François Dorléans. Toute construction de la plateforme s’effectue sous son autorité et sa propriété. Les agents (Grok + équipe) ont fourni cette spécification comme outil de conception. Juillet 2026.</w:t>
      </w:r>
    </w:p>
    <w:p w14:paraId="0E8F4CA4" w14:textId="77777777" w:rsidR="00CA106F" w:rsidRPr="009E5F8A" w:rsidRDefault="00CA106F" w:rsidP="008C068E">
      <w:pPr>
        <w:pBdr>
          <w:top w:val="single" w:sz="12" w:space="8" w:color="0A2540"/>
        </w:pBdr>
        <w:spacing w:before="200"/>
        <w:rPr>
          <w:lang w:val="fr-FR"/>
        </w:rPr>
        <w:sectPr w:rsidR="00CA106F" w:rsidRPr="009E5F8A" w:rsidSect="00CA106F">
          <w:headerReference w:type="default" r:id="rId19"/>
          <w:pgSz w:w="11906" w:h="16838"/>
          <w:pgMar w:top="1020" w:right="1134" w:bottom="1020" w:left="1134" w:header="720" w:footer="720" w:gutter="0"/>
          <w:cols w:space="720"/>
          <w:docGrid w:linePitch="360"/>
        </w:sectPr>
      </w:pPr>
    </w:p>
    <w:p w14:paraId="390A90C5" w14:textId="77777777" w:rsidR="007D7CC9" w:rsidRPr="009E5F8A" w:rsidRDefault="007D7CC9" w:rsidP="007D7CC9">
      <w:pPr>
        <w:pStyle w:val="Heading2"/>
        <w:rPr>
          <w:rFonts w:ascii="Aptos" w:hAnsi="Aptos"/>
          <w:lang w:val="fr-FR"/>
        </w:rPr>
      </w:pPr>
      <w:bookmarkStart w:id="110" w:name="_Toc236489330"/>
      <w:bookmarkStart w:id="111" w:name="_Toc236489409"/>
      <w:r w:rsidRPr="009E5F8A">
        <w:rPr>
          <w:rFonts w:ascii="Aptos" w:hAnsi="Aptos"/>
          <w:color w:val="1F4E79"/>
          <w:sz w:val="30"/>
          <w:lang w:val="fr-FR"/>
        </w:rPr>
        <w:lastRenderedPageBreak/>
        <w:t>TRANSPARENCE ÉCONOMIQUE DE JAKARTA AGGLOMÉRATION</w:t>
      </w:r>
      <w:bookmarkEnd w:id="110"/>
      <w:bookmarkEnd w:id="111"/>
    </w:p>
    <w:p w14:paraId="65609D7F" w14:textId="77777777" w:rsidR="007D7CC9" w:rsidRPr="009E5F8A" w:rsidRDefault="007D7CC9" w:rsidP="007D7CC9">
      <w:pPr>
        <w:jc w:val="center"/>
        <w:rPr>
          <w:rFonts w:ascii="Aptos" w:hAnsi="Aptos"/>
          <w:lang w:val="fr-FR"/>
        </w:rPr>
      </w:pPr>
      <w:r w:rsidRPr="009E5F8A">
        <w:rPr>
          <w:rFonts w:ascii="Aptos" w:hAnsi="Aptos"/>
          <w:b/>
          <w:color w:val="C00000"/>
          <w:sz w:val="22"/>
          <w:lang w:val="fr-FR"/>
        </w:rPr>
        <w:t>BASE DE CALCUL : POPULATION TOTALE DE L’AGGLOMÉRATION ≈ 41,9 MILLIONS D’HABITANTS</w:t>
      </w:r>
    </w:p>
    <w:p w14:paraId="4686F95D" w14:textId="77777777" w:rsidR="007D7CC9" w:rsidRPr="009E5F8A" w:rsidRDefault="007D7CC9" w:rsidP="007D7CC9">
      <w:pPr>
        <w:jc w:val="center"/>
        <w:rPr>
          <w:rFonts w:ascii="Aptos" w:hAnsi="Aptos"/>
          <w:lang w:val="fr-FR"/>
        </w:rPr>
      </w:pPr>
      <w:r w:rsidRPr="009E5F8A">
        <w:rPr>
          <w:rFonts w:ascii="Aptos" w:hAnsi="Aptos"/>
          <w:b/>
          <w:color w:val="196F3D"/>
          <w:lang w:val="fr-FR"/>
        </w:rPr>
        <w:t>Modèle de transparence budgétaire normalisé – Année de référence 2025/2026</w:t>
      </w:r>
      <w:r w:rsidRPr="009E5F8A">
        <w:rPr>
          <w:rFonts w:ascii="Aptos" w:hAnsi="Aptos"/>
          <w:b/>
          <w:color w:val="196F3D"/>
          <w:lang w:val="fr-FR"/>
        </w:rPr>
        <w:br/>
        <w:t>Base locale = 1,00 € d’impôts régionaux (Pajak Daerah de DKI Jakarta)</w:t>
      </w:r>
    </w:p>
    <w:p w14:paraId="431931A9" w14:textId="77777777" w:rsidR="007D7CC9" w:rsidRPr="009E5F8A" w:rsidRDefault="007D7CC9" w:rsidP="007D7CC9">
      <w:pPr>
        <w:jc w:val="center"/>
        <w:rPr>
          <w:rFonts w:ascii="Aptos" w:hAnsi="Aptos"/>
          <w:lang w:val="fr-FR"/>
        </w:rPr>
      </w:pPr>
      <w:r w:rsidRPr="009E5F8A">
        <w:rPr>
          <w:rFonts w:ascii="Aptos" w:hAnsi="Aptos"/>
          <w:i/>
          <w:color w:val="5A5A5A"/>
          <w:sz w:val="18"/>
          <w:lang w:val="fr-FR"/>
        </w:rPr>
        <w:t>Document sous direction exclusive de François Dorléans</w:t>
      </w:r>
      <w:r w:rsidRPr="009E5F8A">
        <w:rPr>
          <w:rFonts w:ascii="Aptos" w:hAnsi="Aptos"/>
          <w:i/>
          <w:color w:val="5A5A5A"/>
          <w:sz w:val="18"/>
          <w:lang w:val="fr-FR"/>
        </w:rPr>
        <w:br/>
        <w:t>Base de comparaison pour l’analyse ultérieure de la naissance de Nusantara</w:t>
      </w:r>
    </w:p>
    <w:p w14:paraId="3893082C" w14:textId="77777777" w:rsidR="007D7CC9" w:rsidRPr="009E5F8A" w:rsidRDefault="007D7CC9" w:rsidP="007D7CC9">
      <w:pPr>
        <w:rPr>
          <w:rFonts w:ascii="Aptos" w:hAnsi="Aptos"/>
          <w:lang w:val="fr-FR"/>
        </w:rPr>
      </w:pPr>
    </w:p>
    <w:p w14:paraId="7BAD4969" w14:textId="77777777" w:rsidR="007D7CC9" w:rsidRPr="009E5F8A" w:rsidRDefault="007D7CC9" w:rsidP="007D7CC9">
      <w:pPr>
        <w:pStyle w:val="Heading3"/>
        <w:rPr>
          <w:rFonts w:ascii="Aptos" w:hAnsi="Aptos"/>
          <w:lang w:val="fr-FR"/>
        </w:rPr>
      </w:pPr>
      <w:bookmarkStart w:id="112" w:name="_Toc236489331"/>
      <w:bookmarkStart w:id="113" w:name="_Toc236489410"/>
      <w:r w:rsidRPr="009E5F8A">
        <w:rPr>
          <w:rFonts w:ascii="Aptos" w:hAnsi="Aptos"/>
          <w:color w:val="1F4E79"/>
          <w:sz w:val="26"/>
          <w:lang w:val="fr-FR"/>
        </w:rPr>
        <w:t>Note méthodologique – Base de calcul affichée en en-tête</w:t>
      </w:r>
      <w:bookmarkEnd w:id="112"/>
      <w:bookmarkEnd w:id="113"/>
    </w:p>
    <w:p w14:paraId="41E641A6" w14:textId="77777777" w:rsidR="007D7CC9" w:rsidRPr="009E5F8A" w:rsidRDefault="007D7CC9" w:rsidP="007D7CC9">
      <w:pPr>
        <w:spacing w:after="100"/>
        <w:rPr>
          <w:rFonts w:ascii="Aptos" w:hAnsi="Aptos"/>
          <w:lang w:val="fr-FR"/>
        </w:rPr>
      </w:pPr>
      <w:r w:rsidRPr="009E5F8A">
        <w:rPr>
          <w:rFonts w:ascii="Aptos" w:hAnsi="Aptos"/>
          <w:b/>
          <w:lang w:val="fr-FR"/>
        </w:rPr>
        <w:t>La base de calcul de ce document est explicitement l’agglomération de Jakarta (Greater Jakarta / Jabodetabek), dont la population totale est estimée à environ 41,9 millions d’habitants (données ONU 2025).</w:t>
      </w:r>
    </w:p>
    <w:p w14:paraId="39714490" w14:textId="77777777" w:rsidR="007D7CC9" w:rsidRPr="009E5F8A" w:rsidRDefault="007D7CC9" w:rsidP="007D7CC9">
      <w:pPr>
        <w:spacing w:after="100"/>
        <w:rPr>
          <w:rFonts w:ascii="Aptos" w:hAnsi="Aptos"/>
          <w:lang w:val="fr-FR"/>
        </w:rPr>
      </w:pPr>
      <w:r w:rsidRPr="009E5F8A">
        <w:rPr>
          <w:rFonts w:ascii="Aptos" w:hAnsi="Aptos"/>
          <w:lang w:val="fr-FR"/>
        </w:rPr>
        <w:t>Cependant, les impôts locaux (Pajak Daerah) qui constituent le point d’ancrage du « 1,00 € » sont perçus uniquement par l’entité administrative DKI Jakarta (≈ 11,0 – 12,5 millions d’habitants). Le modèle conserve donc :</w:t>
      </w:r>
    </w:p>
    <w:p w14:paraId="49601830" w14:textId="77777777" w:rsidR="007D7CC9" w:rsidRPr="009E5F8A" w:rsidRDefault="007D7CC9" w:rsidP="007D7CC9">
      <w:pPr>
        <w:spacing w:after="100"/>
        <w:rPr>
          <w:rFonts w:ascii="Aptos" w:hAnsi="Aptos"/>
          <w:lang w:val="fr-FR"/>
        </w:rPr>
      </w:pPr>
      <w:r w:rsidRPr="009E5F8A">
        <w:rPr>
          <w:rFonts w:ascii="Aptos" w:hAnsi="Aptos"/>
          <w:lang w:val="fr-FR"/>
        </w:rPr>
        <w:t>• Base fiscale locale = impôts de DKI Jakarta ramenés à 1,00 €</w:t>
      </w:r>
    </w:p>
    <w:p w14:paraId="068CB50B" w14:textId="77777777" w:rsidR="007D7CC9" w:rsidRPr="009E5F8A" w:rsidRDefault="007D7CC9" w:rsidP="007D7CC9">
      <w:pPr>
        <w:spacing w:after="100"/>
        <w:rPr>
          <w:rFonts w:ascii="Aptos" w:hAnsi="Aptos"/>
          <w:lang w:val="fr-FR"/>
        </w:rPr>
      </w:pPr>
      <w:r w:rsidRPr="009E5F8A">
        <w:rPr>
          <w:rFonts w:ascii="Aptos" w:hAnsi="Aptos"/>
          <w:lang w:val="fr-FR"/>
        </w:rPr>
        <w:t>• Emprise démographique, économique, énergétique et de froid = agglomération ≈ 41,9 millions</w:t>
      </w:r>
    </w:p>
    <w:p w14:paraId="5F0A2509" w14:textId="77777777" w:rsidR="007D7CC9" w:rsidRPr="009E5F8A" w:rsidRDefault="007D7CC9" w:rsidP="007D7CC9">
      <w:pPr>
        <w:spacing w:after="100"/>
        <w:rPr>
          <w:rFonts w:ascii="Aptos" w:hAnsi="Aptos"/>
          <w:lang w:val="fr-FR"/>
        </w:rPr>
      </w:pPr>
      <w:r w:rsidRPr="009E5F8A">
        <w:rPr>
          <w:rFonts w:ascii="Aptos" w:hAnsi="Aptos"/>
          <w:lang w:val="fr-FR"/>
        </w:rPr>
        <w:t>Cette distinction est essentielle pour éviter toute confusion entre l’échelle administrative et l’échelle réelle de la giga-ville.</w:t>
      </w:r>
    </w:p>
    <w:p w14:paraId="233BB365" w14:textId="77777777" w:rsidR="007D7CC9" w:rsidRPr="009E5F8A" w:rsidRDefault="007D7CC9" w:rsidP="007D7CC9">
      <w:pPr>
        <w:pStyle w:val="Heading3"/>
        <w:rPr>
          <w:rFonts w:ascii="Aptos" w:hAnsi="Aptos"/>
          <w:lang w:val="fr-FR"/>
        </w:rPr>
      </w:pPr>
      <w:bookmarkStart w:id="114" w:name="_Toc236489332"/>
      <w:bookmarkStart w:id="115" w:name="_Toc236489411"/>
      <w:r w:rsidRPr="009E5F8A">
        <w:rPr>
          <w:rFonts w:ascii="Aptos" w:hAnsi="Aptos"/>
          <w:color w:val="1F4E79"/>
          <w:sz w:val="26"/>
          <w:lang w:val="fr-FR"/>
        </w:rPr>
        <w:t>1. Population de référence – Jakarta Agglomération</w:t>
      </w:r>
      <w:bookmarkEnd w:id="114"/>
      <w:bookmarkEnd w:id="115"/>
    </w:p>
    <w:tbl>
      <w:tblPr>
        <w:tblStyle w:val="TableGrid"/>
        <w:tblW w:w="0" w:type="auto"/>
        <w:jc w:val="center"/>
        <w:tblLook w:val="04A0" w:firstRow="1" w:lastRow="0" w:firstColumn="1" w:lastColumn="0" w:noHBand="0" w:noVBand="1"/>
      </w:tblPr>
      <w:tblGrid>
        <w:gridCol w:w="3397"/>
        <w:gridCol w:w="3396"/>
        <w:gridCol w:w="3397"/>
      </w:tblGrid>
      <w:tr w:rsidR="007D7CC9" w:rsidRPr="009E5F8A" w14:paraId="5CB82CD5" w14:textId="77777777" w:rsidTr="00BB33E3">
        <w:trPr>
          <w:jc w:val="center"/>
        </w:trPr>
        <w:tc>
          <w:tcPr>
            <w:tcW w:w="3400" w:type="dxa"/>
          </w:tcPr>
          <w:p w14:paraId="445DFD76" w14:textId="77777777" w:rsidR="007D7CC9" w:rsidRPr="009E5F8A" w:rsidRDefault="007D7CC9" w:rsidP="00BB33E3">
            <w:pPr>
              <w:rPr>
                <w:rFonts w:ascii="Aptos" w:hAnsi="Aptos"/>
                <w:lang w:val="fr-FR"/>
              </w:rPr>
            </w:pPr>
            <w:r w:rsidRPr="009E5F8A">
              <w:rPr>
                <w:rFonts w:ascii="Aptos" w:hAnsi="Aptos"/>
                <w:b/>
                <w:sz w:val="18"/>
                <w:lang w:val="fr-FR"/>
              </w:rPr>
              <w:t>Périmètre</w:t>
            </w:r>
          </w:p>
        </w:tc>
        <w:tc>
          <w:tcPr>
            <w:tcW w:w="3400" w:type="dxa"/>
          </w:tcPr>
          <w:p w14:paraId="64D1748D" w14:textId="77777777" w:rsidR="007D7CC9" w:rsidRPr="009E5F8A" w:rsidRDefault="007D7CC9" w:rsidP="00BB33E3">
            <w:pPr>
              <w:rPr>
                <w:rFonts w:ascii="Aptos" w:hAnsi="Aptos"/>
                <w:lang w:val="fr-FR"/>
              </w:rPr>
            </w:pPr>
            <w:r w:rsidRPr="009E5F8A">
              <w:rPr>
                <w:rFonts w:ascii="Aptos" w:hAnsi="Aptos"/>
                <w:b/>
                <w:sz w:val="18"/>
                <w:lang w:val="fr-FR"/>
              </w:rPr>
              <w:t>Population (2025-2026)</w:t>
            </w:r>
          </w:p>
        </w:tc>
        <w:tc>
          <w:tcPr>
            <w:tcW w:w="3400" w:type="dxa"/>
          </w:tcPr>
          <w:p w14:paraId="52713983" w14:textId="77777777" w:rsidR="007D7CC9" w:rsidRPr="009E5F8A" w:rsidRDefault="007D7CC9" w:rsidP="00BB33E3">
            <w:pPr>
              <w:rPr>
                <w:rFonts w:ascii="Aptos" w:hAnsi="Aptos"/>
                <w:lang w:val="fr-FR"/>
              </w:rPr>
            </w:pPr>
            <w:r w:rsidRPr="009E5F8A">
              <w:rPr>
                <w:rFonts w:ascii="Aptos" w:hAnsi="Aptos"/>
                <w:b/>
                <w:sz w:val="18"/>
                <w:lang w:val="fr-FR"/>
              </w:rPr>
              <w:t>Rôle dans le modèle</w:t>
            </w:r>
          </w:p>
        </w:tc>
      </w:tr>
      <w:tr w:rsidR="007D7CC9" w:rsidRPr="009E5F8A" w14:paraId="44C7B8CA" w14:textId="77777777" w:rsidTr="00BB33E3">
        <w:trPr>
          <w:jc w:val="center"/>
        </w:trPr>
        <w:tc>
          <w:tcPr>
            <w:tcW w:w="3400" w:type="dxa"/>
          </w:tcPr>
          <w:p w14:paraId="209CC3D8" w14:textId="77777777" w:rsidR="007D7CC9" w:rsidRPr="009E5F8A" w:rsidRDefault="007D7CC9" w:rsidP="00BB33E3">
            <w:pPr>
              <w:rPr>
                <w:rFonts w:ascii="Aptos" w:hAnsi="Aptos"/>
                <w:lang w:val="fr-FR"/>
              </w:rPr>
            </w:pPr>
            <w:r w:rsidRPr="009E5F8A">
              <w:rPr>
                <w:rFonts w:ascii="Aptos" w:hAnsi="Aptos"/>
                <w:sz w:val="18"/>
                <w:lang w:val="fr-FR"/>
              </w:rPr>
              <w:t>Jakarta Agglomération</w:t>
            </w:r>
            <w:r w:rsidRPr="009E5F8A">
              <w:rPr>
                <w:rFonts w:ascii="Aptos" w:hAnsi="Aptos"/>
                <w:sz w:val="18"/>
                <w:lang w:val="fr-FR"/>
              </w:rPr>
              <w:br/>
              <w:t>(Greater Jakarta / Jabodetabek)</w:t>
            </w:r>
          </w:p>
        </w:tc>
        <w:tc>
          <w:tcPr>
            <w:tcW w:w="3400" w:type="dxa"/>
          </w:tcPr>
          <w:p w14:paraId="3911EE7D" w14:textId="77777777" w:rsidR="007D7CC9" w:rsidRPr="009E5F8A" w:rsidRDefault="007D7CC9" w:rsidP="00BB33E3">
            <w:pPr>
              <w:rPr>
                <w:rFonts w:ascii="Aptos" w:hAnsi="Aptos"/>
                <w:lang w:val="fr-FR"/>
              </w:rPr>
            </w:pPr>
            <w:r w:rsidRPr="009E5F8A">
              <w:rPr>
                <w:rFonts w:ascii="Aptos" w:hAnsi="Aptos"/>
                <w:sz w:val="18"/>
                <w:lang w:val="fr-FR"/>
              </w:rPr>
              <w:t>≈ 41,9 millions</w:t>
            </w:r>
          </w:p>
        </w:tc>
        <w:tc>
          <w:tcPr>
            <w:tcW w:w="3400" w:type="dxa"/>
          </w:tcPr>
          <w:p w14:paraId="7FF71403" w14:textId="77777777" w:rsidR="007D7CC9" w:rsidRPr="009E5F8A" w:rsidRDefault="007D7CC9" w:rsidP="00BB33E3">
            <w:pPr>
              <w:rPr>
                <w:rFonts w:ascii="Aptos" w:hAnsi="Aptos"/>
                <w:lang w:val="fr-FR"/>
              </w:rPr>
            </w:pPr>
            <w:r w:rsidRPr="009E5F8A">
              <w:rPr>
                <w:rFonts w:ascii="Aptos" w:hAnsi="Aptos"/>
                <w:sz w:val="18"/>
                <w:lang w:val="fr-FR"/>
              </w:rPr>
              <w:t>BASE DE CALCUL PRINCIPALE</w:t>
            </w:r>
            <w:r w:rsidRPr="009E5F8A">
              <w:rPr>
                <w:rFonts w:ascii="Aptos" w:hAnsi="Aptos"/>
                <w:sz w:val="18"/>
                <w:lang w:val="fr-FR"/>
              </w:rPr>
              <w:br/>
              <w:t>(emprise démographique, économique, énergie, froid)</w:t>
            </w:r>
          </w:p>
        </w:tc>
      </w:tr>
      <w:tr w:rsidR="007D7CC9" w:rsidRPr="009E5F8A" w14:paraId="40DD4383" w14:textId="77777777" w:rsidTr="00BB33E3">
        <w:trPr>
          <w:jc w:val="center"/>
        </w:trPr>
        <w:tc>
          <w:tcPr>
            <w:tcW w:w="3400" w:type="dxa"/>
          </w:tcPr>
          <w:p w14:paraId="3D090768" w14:textId="77777777" w:rsidR="007D7CC9" w:rsidRPr="009E5F8A" w:rsidRDefault="007D7CC9" w:rsidP="00BB33E3">
            <w:pPr>
              <w:rPr>
                <w:rFonts w:ascii="Aptos" w:hAnsi="Aptos"/>
                <w:lang w:val="fr-FR"/>
              </w:rPr>
            </w:pPr>
            <w:r w:rsidRPr="009E5F8A">
              <w:rPr>
                <w:rFonts w:ascii="Aptos" w:hAnsi="Aptos"/>
                <w:sz w:val="18"/>
                <w:lang w:val="fr-FR"/>
              </w:rPr>
              <w:t>DKI Jakarta</w:t>
            </w:r>
            <w:r w:rsidRPr="009E5F8A">
              <w:rPr>
                <w:rFonts w:ascii="Aptos" w:hAnsi="Aptos"/>
                <w:sz w:val="18"/>
                <w:lang w:val="fr-FR"/>
              </w:rPr>
              <w:br/>
              <w:t>(Région spéciale de la capitale)</w:t>
            </w:r>
          </w:p>
        </w:tc>
        <w:tc>
          <w:tcPr>
            <w:tcW w:w="3400" w:type="dxa"/>
          </w:tcPr>
          <w:p w14:paraId="1E6DFB72" w14:textId="77777777" w:rsidR="007D7CC9" w:rsidRPr="009E5F8A" w:rsidRDefault="007D7CC9" w:rsidP="00BB33E3">
            <w:pPr>
              <w:rPr>
                <w:rFonts w:ascii="Aptos" w:hAnsi="Aptos"/>
                <w:lang w:val="fr-FR"/>
              </w:rPr>
            </w:pPr>
            <w:r w:rsidRPr="009E5F8A">
              <w:rPr>
                <w:rFonts w:ascii="Aptos" w:hAnsi="Aptos"/>
                <w:sz w:val="18"/>
                <w:lang w:val="fr-FR"/>
              </w:rPr>
              <w:t>11,0 – 12,5 millions</w:t>
            </w:r>
          </w:p>
        </w:tc>
        <w:tc>
          <w:tcPr>
            <w:tcW w:w="3400" w:type="dxa"/>
          </w:tcPr>
          <w:p w14:paraId="7C541602" w14:textId="77777777" w:rsidR="007D7CC9" w:rsidRPr="009E5F8A" w:rsidRDefault="007D7CC9" w:rsidP="00BB33E3">
            <w:pPr>
              <w:rPr>
                <w:rFonts w:ascii="Aptos" w:hAnsi="Aptos"/>
                <w:lang w:val="fr-FR"/>
              </w:rPr>
            </w:pPr>
            <w:r w:rsidRPr="009E5F8A">
              <w:rPr>
                <w:rFonts w:ascii="Aptos" w:hAnsi="Aptos"/>
                <w:sz w:val="18"/>
                <w:lang w:val="fr-FR"/>
              </w:rPr>
              <w:t>Entité qui perçoit les Pajak Daerah</w:t>
            </w:r>
            <w:r w:rsidRPr="009E5F8A">
              <w:rPr>
                <w:rFonts w:ascii="Aptos" w:hAnsi="Aptos"/>
                <w:sz w:val="18"/>
                <w:lang w:val="fr-FR"/>
              </w:rPr>
              <w:br/>
              <w:t>(ancrage du 1,00 € local)</w:t>
            </w:r>
          </w:p>
        </w:tc>
      </w:tr>
    </w:tbl>
    <w:p w14:paraId="0373CAF1" w14:textId="77777777" w:rsidR="007D7CC9" w:rsidRPr="009E5F8A" w:rsidRDefault="007D7CC9" w:rsidP="007D7CC9">
      <w:pPr>
        <w:spacing w:before="60" w:after="160"/>
        <w:jc w:val="center"/>
        <w:rPr>
          <w:rFonts w:ascii="Aptos" w:hAnsi="Aptos"/>
          <w:lang w:val="fr-FR"/>
        </w:rPr>
      </w:pPr>
      <w:r w:rsidRPr="009E5F8A">
        <w:rPr>
          <w:rFonts w:ascii="Aptos" w:hAnsi="Aptos"/>
          <w:b/>
          <w:i/>
          <w:color w:val="464646"/>
          <w:sz w:val="18"/>
          <w:lang w:val="fr-FR"/>
        </w:rPr>
        <w:t>Fig. 1 – Population de référence : Jakarta Agglomération ≈ 41,9 millions d’habitants</w:t>
      </w:r>
    </w:p>
    <w:p w14:paraId="0C3D2492" w14:textId="77777777" w:rsidR="007D7CC9" w:rsidRPr="009E5F8A" w:rsidRDefault="007D7CC9" w:rsidP="007D7CC9">
      <w:pPr>
        <w:pStyle w:val="Heading3"/>
        <w:rPr>
          <w:rFonts w:ascii="Aptos" w:hAnsi="Aptos"/>
          <w:lang w:val="fr-FR"/>
        </w:rPr>
      </w:pPr>
      <w:bookmarkStart w:id="116" w:name="_Toc236489333"/>
      <w:bookmarkStart w:id="117" w:name="_Toc236489412"/>
      <w:r w:rsidRPr="009E5F8A">
        <w:rPr>
          <w:rFonts w:ascii="Aptos" w:hAnsi="Aptos"/>
          <w:color w:val="1F4E79"/>
          <w:sz w:val="26"/>
          <w:lang w:val="fr-FR"/>
        </w:rPr>
        <w:t>2. Principe de base du modèle</w:t>
      </w:r>
      <w:bookmarkEnd w:id="116"/>
      <w:bookmarkEnd w:id="117"/>
    </w:p>
    <w:p w14:paraId="20B09E2D" w14:textId="77777777" w:rsidR="007D7CC9" w:rsidRPr="009E5F8A" w:rsidRDefault="007D7CC9" w:rsidP="007D7CC9">
      <w:pPr>
        <w:spacing w:after="100"/>
        <w:rPr>
          <w:rFonts w:ascii="Aptos" w:hAnsi="Aptos"/>
          <w:lang w:val="fr-FR"/>
        </w:rPr>
      </w:pPr>
      <w:r w:rsidRPr="009E5F8A">
        <w:rPr>
          <w:rFonts w:ascii="Aptos" w:hAnsi="Aptos"/>
          <w:lang w:val="fr-FR"/>
        </w:rPr>
        <w:t>• Base locale = 1,00 € = Impôts locaux de DKI Jakarta (Pajak Daerah ≈ Rp 49,89 billions en 2026) ramenés à 1,00 €.</w:t>
      </w:r>
    </w:p>
    <w:p w14:paraId="32B0F379" w14:textId="77777777" w:rsidR="007D7CC9" w:rsidRPr="009E5F8A" w:rsidRDefault="007D7CC9" w:rsidP="007D7CC9">
      <w:pPr>
        <w:spacing w:after="100"/>
        <w:rPr>
          <w:rFonts w:ascii="Aptos" w:hAnsi="Aptos"/>
          <w:lang w:val="fr-FR"/>
        </w:rPr>
      </w:pPr>
      <w:r w:rsidRPr="009E5F8A">
        <w:rPr>
          <w:rFonts w:ascii="Aptos" w:hAnsi="Aptos"/>
          <w:lang w:val="fr-FR"/>
        </w:rPr>
        <w:t>• Toutes les autres valeurs sont des découpages de catégories adaptés à l’économie d’une giga-ville de ≈ 41,9 millions d’habitants.</w:t>
      </w:r>
    </w:p>
    <w:p w14:paraId="49793B9A" w14:textId="77777777" w:rsidR="007D7CC9" w:rsidRPr="009E5F8A" w:rsidRDefault="007D7CC9" w:rsidP="007D7CC9">
      <w:pPr>
        <w:spacing w:after="100"/>
        <w:rPr>
          <w:rFonts w:ascii="Aptos" w:hAnsi="Aptos"/>
          <w:lang w:val="fr-FR"/>
        </w:rPr>
      </w:pPr>
      <w:r w:rsidRPr="009E5F8A">
        <w:rPr>
          <w:rFonts w:ascii="Aptos" w:hAnsi="Aptos"/>
          <w:lang w:val="fr-FR"/>
        </w:rPr>
        <w:t>• Le ratio national est calculé sur la part de population de l’agglomération dans l’Indonésie (≈ 41,9 M / ≈ 288 M ≈ 14,5 %).</w:t>
      </w:r>
    </w:p>
    <w:p w14:paraId="4AF06A32" w14:textId="77777777" w:rsidR="007D7CC9" w:rsidRPr="009E5F8A" w:rsidRDefault="007D7CC9" w:rsidP="007D7CC9">
      <w:pPr>
        <w:pStyle w:val="Heading3"/>
        <w:rPr>
          <w:rFonts w:ascii="Aptos" w:hAnsi="Aptos"/>
          <w:lang w:val="fr-FR"/>
        </w:rPr>
      </w:pPr>
      <w:bookmarkStart w:id="118" w:name="_Toc236489334"/>
      <w:bookmarkStart w:id="119" w:name="_Toc236489413"/>
      <w:r w:rsidRPr="009E5F8A">
        <w:rPr>
          <w:rFonts w:ascii="Aptos" w:hAnsi="Aptos"/>
          <w:color w:val="1F4E79"/>
          <w:sz w:val="26"/>
          <w:lang w:val="fr-FR"/>
        </w:rPr>
        <w:t>3. Chapitre 1 – Le 1,00 € local (Impôts de DKI Jakarta)</w:t>
      </w:r>
      <w:bookmarkEnd w:id="118"/>
      <w:bookmarkEnd w:id="119"/>
    </w:p>
    <w:p w14:paraId="0426E58C" w14:textId="77777777" w:rsidR="007D7CC9" w:rsidRPr="009E5F8A" w:rsidRDefault="007D7CC9" w:rsidP="007D7CC9">
      <w:pPr>
        <w:spacing w:after="100"/>
        <w:rPr>
          <w:rFonts w:ascii="Aptos" w:hAnsi="Aptos"/>
          <w:lang w:val="fr-FR"/>
        </w:rPr>
      </w:pPr>
      <w:r w:rsidRPr="009E5F8A">
        <w:rPr>
          <w:rFonts w:ascii="Aptos" w:hAnsi="Aptos"/>
          <w:lang w:val="fr-FR"/>
        </w:rPr>
        <w:t>Même si la base de calcul globale est l’agglomération de 41,9 millions, le 1,00 € reste strictement ancré sur les impôts locaux réellement perçus par DKI Jakarta.</w:t>
      </w:r>
    </w:p>
    <w:tbl>
      <w:tblPr>
        <w:tblStyle w:val="TableGrid"/>
        <w:tblW w:w="0" w:type="auto"/>
        <w:jc w:val="center"/>
        <w:tblLook w:val="04A0" w:firstRow="1" w:lastRow="0" w:firstColumn="1" w:lastColumn="0" w:noHBand="0" w:noVBand="1"/>
      </w:tblPr>
      <w:tblGrid>
        <w:gridCol w:w="5095"/>
        <w:gridCol w:w="5095"/>
      </w:tblGrid>
      <w:tr w:rsidR="007D7CC9" w:rsidRPr="009E5F8A" w14:paraId="7BFB84D8" w14:textId="77777777" w:rsidTr="00BB33E3">
        <w:trPr>
          <w:tblHeader/>
          <w:jc w:val="center"/>
        </w:trPr>
        <w:tc>
          <w:tcPr>
            <w:tcW w:w="5100" w:type="dxa"/>
          </w:tcPr>
          <w:p w14:paraId="6340D61E" w14:textId="77777777" w:rsidR="007D7CC9" w:rsidRPr="009E5F8A" w:rsidRDefault="007D7CC9" w:rsidP="00BB33E3">
            <w:pPr>
              <w:rPr>
                <w:rFonts w:ascii="Aptos" w:hAnsi="Aptos"/>
                <w:lang w:val="fr-FR"/>
              </w:rPr>
            </w:pPr>
            <w:r w:rsidRPr="009E5F8A">
              <w:rPr>
                <w:rFonts w:ascii="Aptos" w:hAnsi="Aptos"/>
                <w:b/>
                <w:sz w:val="18"/>
                <w:lang w:val="fr-FR"/>
              </w:rPr>
              <w:lastRenderedPageBreak/>
              <w:t>Catégorie</w:t>
            </w:r>
          </w:p>
        </w:tc>
        <w:tc>
          <w:tcPr>
            <w:tcW w:w="5100" w:type="dxa"/>
          </w:tcPr>
          <w:p w14:paraId="496327D2" w14:textId="77777777" w:rsidR="007D7CC9" w:rsidRPr="009E5F8A" w:rsidRDefault="007D7CC9" w:rsidP="00BB33E3">
            <w:pPr>
              <w:rPr>
                <w:rFonts w:ascii="Aptos" w:hAnsi="Aptos"/>
                <w:lang w:val="fr-FR"/>
              </w:rPr>
            </w:pPr>
            <w:r w:rsidRPr="009E5F8A">
              <w:rPr>
                <w:rFonts w:ascii="Aptos" w:hAnsi="Aptos"/>
                <w:b/>
                <w:sz w:val="18"/>
                <w:lang w:val="fr-FR"/>
              </w:rPr>
              <w:t>Montant (€)</w:t>
            </w:r>
          </w:p>
        </w:tc>
      </w:tr>
      <w:tr w:rsidR="007D7CC9" w:rsidRPr="009E5F8A" w14:paraId="3DC29A13" w14:textId="77777777" w:rsidTr="00BB33E3">
        <w:trPr>
          <w:tblHeader/>
          <w:jc w:val="center"/>
        </w:trPr>
        <w:tc>
          <w:tcPr>
            <w:tcW w:w="5100" w:type="dxa"/>
          </w:tcPr>
          <w:p w14:paraId="7B243F56" w14:textId="77777777" w:rsidR="007D7CC9" w:rsidRPr="009E5F8A" w:rsidRDefault="007D7CC9" w:rsidP="00BB33E3">
            <w:pPr>
              <w:rPr>
                <w:rFonts w:ascii="Aptos" w:hAnsi="Aptos"/>
                <w:lang w:val="fr-FR"/>
              </w:rPr>
            </w:pPr>
            <w:r w:rsidRPr="009E5F8A">
              <w:rPr>
                <w:rFonts w:ascii="Aptos" w:hAnsi="Aptos"/>
                <w:sz w:val="18"/>
                <w:lang w:val="fr-FR"/>
              </w:rPr>
              <w:t>Routes &amp; mobilité</w:t>
            </w:r>
          </w:p>
        </w:tc>
        <w:tc>
          <w:tcPr>
            <w:tcW w:w="5100" w:type="dxa"/>
          </w:tcPr>
          <w:p w14:paraId="389EC399" w14:textId="77777777" w:rsidR="007D7CC9" w:rsidRPr="009E5F8A" w:rsidRDefault="007D7CC9" w:rsidP="00BB33E3">
            <w:pPr>
              <w:rPr>
                <w:rFonts w:ascii="Aptos" w:hAnsi="Aptos"/>
                <w:lang w:val="fr-FR"/>
              </w:rPr>
            </w:pPr>
            <w:r w:rsidRPr="009E5F8A">
              <w:rPr>
                <w:rFonts w:ascii="Aptos" w:hAnsi="Aptos"/>
                <w:sz w:val="18"/>
                <w:lang w:val="fr-FR"/>
              </w:rPr>
              <w:t>0,18</w:t>
            </w:r>
          </w:p>
        </w:tc>
      </w:tr>
      <w:tr w:rsidR="007D7CC9" w:rsidRPr="009E5F8A" w14:paraId="7A788805" w14:textId="77777777" w:rsidTr="00BB33E3">
        <w:trPr>
          <w:tblHeader/>
          <w:jc w:val="center"/>
        </w:trPr>
        <w:tc>
          <w:tcPr>
            <w:tcW w:w="5100" w:type="dxa"/>
          </w:tcPr>
          <w:p w14:paraId="6D9DAE68" w14:textId="77777777" w:rsidR="007D7CC9" w:rsidRPr="009E5F8A" w:rsidRDefault="007D7CC9" w:rsidP="00BB33E3">
            <w:pPr>
              <w:rPr>
                <w:rFonts w:ascii="Aptos" w:hAnsi="Aptos"/>
                <w:lang w:val="fr-FR"/>
              </w:rPr>
            </w:pPr>
            <w:r w:rsidRPr="009E5F8A">
              <w:rPr>
                <w:rFonts w:ascii="Aptos" w:hAnsi="Aptos"/>
                <w:sz w:val="18"/>
                <w:lang w:val="fr-FR"/>
              </w:rPr>
              <w:t>Drainage / eaux pluviales / anti-inondation</w:t>
            </w:r>
          </w:p>
        </w:tc>
        <w:tc>
          <w:tcPr>
            <w:tcW w:w="5100" w:type="dxa"/>
          </w:tcPr>
          <w:p w14:paraId="5538AE03" w14:textId="77777777" w:rsidR="007D7CC9" w:rsidRPr="009E5F8A" w:rsidRDefault="007D7CC9" w:rsidP="00BB33E3">
            <w:pPr>
              <w:rPr>
                <w:rFonts w:ascii="Aptos" w:hAnsi="Aptos"/>
                <w:lang w:val="fr-FR"/>
              </w:rPr>
            </w:pPr>
            <w:r w:rsidRPr="009E5F8A">
              <w:rPr>
                <w:rFonts w:ascii="Aptos" w:hAnsi="Aptos"/>
                <w:sz w:val="18"/>
                <w:lang w:val="fr-FR"/>
              </w:rPr>
              <w:t>0,14</w:t>
            </w:r>
          </w:p>
        </w:tc>
      </w:tr>
      <w:tr w:rsidR="007D7CC9" w:rsidRPr="009E5F8A" w14:paraId="5341081C" w14:textId="77777777" w:rsidTr="00BB33E3">
        <w:trPr>
          <w:tblHeader/>
          <w:jc w:val="center"/>
        </w:trPr>
        <w:tc>
          <w:tcPr>
            <w:tcW w:w="5100" w:type="dxa"/>
          </w:tcPr>
          <w:p w14:paraId="7D072D56" w14:textId="77777777" w:rsidR="007D7CC9" w:rsidRPr="009E5F8A" w:rsidRDefault="007D7CC9" w:rsidP="00BB33E3">
            <w:pPr>
              <w:rPr>
                <w:rFonts w:ascii="Aptos" w:hAnsi="Aptos"/>
                <w:lang w:val="fr-FR"/>
              </w:rPr>
            </w:pPr>
            <w:r w:rsidRPr="009E5F8A">
              <w:rPr>
                <w:rFonts w:ascii="Aptos" w:hAnsi="Aptos"/>
                <w:sz w:val="18"/>
                <w:lang w:val="fr-FR"/>
              </w:rPr>
              <w:t>Eau &amp; assainissement</w:t>
            </w:r>
          </w:p>
        </w:tc>
        <w:tc>
          <w:tcPr>
            <w:tcW w:w="5100" w:type="dxa"/>
          </w:tcPr>
          <w:p w14:paraId="1763304F" w14:textId="77777777" w:rsidR="007D7CC9" w:rsidRPr="009E5F8A" w:rsidRDefault="007D7CC9" w:rsidP="00BB33E3">
            <w:pPr>
              <w:rPr>
                <w:rFonts w:ascii="Aptos" w:hAnsi="Aptos"/>
                <w:lang w:val="fr-FR"/>
              </w:rPr>
            </w:pPr>
            <w:r w:rsidRPr="009E5F8A">
              <w:rPr>
                <w:rFonts w:ascii="Aptos" w:hAnsi="Aptos"/>
                <w:sz w:val="18"/>
                <w:lang w:val="fr-FR"/>
              </w:rPr>
              <w:t>0,13</w:t>
            </w:r>
          </w:p>
        </w:tc>
      </w:tr>
      <w:tr w:rsidR="007D7CC9" w:rsidRPr="009E5F8A" w14:paraId="6E6E8C31" w14:textId="77777777" w:rsidTr="00BB33E3">
        <w:trPr>
          <w:tblHeader/>
          <w:jc w:val="center"/>
        </w:trPr>
        <w:tc>
          <w:tcPr>
            <w:tcW w:w="5100" w:type="dxa"/>
          </w:tcPr>
          <w:p w14:paraId="00E109F8" w14:textId="77777777" w:rsidR="007D7CC9" w:rsidRPr="009E5F8A" w:rsidRDefault="007D7CC9" w:rsidP="00BB33E3">
            <w:pPr>
              <w:rPr>
                <w:rFonts w:ascii="Aptos" w:hAnsi="Aptos"/>
                <w:lang w:val="fr-FR"/>
              </w:rPr>
            </w:pPr>
            <w:r w:rsidRPr="009E5F8A">
              <w:rPr>
                <w:rFonts w:ascii="Aptos" w:hAnsi="Aptos"/>
                <w:sz w:val="18"/>
                <w:lang w:val="fr-FR"/>
              </w:rPr>
              <w:t>Énergie &amp; District Cooling / potentiel SWAC</w:t>
            </w:r>
          </w:p>
        </w:tc>
        <w:tc>
          <w:tcPr>
            <w:tcW w:w="5100" w:type="dxa"/>
          </w:tcPr>
          <w:p w14:paraId="544822DE" w14:textId="77777777" w:rsidR="007D7CC9" w:rsidRPr="009E5F8A" w:rsidRDefault="007D7CC9" w:rsidP="00BB33E3">
            <w:pPr>
              <w:rPr>
                <w:rFonts w:ascii="Aptos" w:hAnsi="Aptos"/>
                <w:lang w:val="fr-FR"/>
              </w:rPr>
            </w:pPr>
            <w:r w:rsidRPr="009E5F8A">
              <w:rPr>
                <w:rFonts w:ascii="Aptos" w:hAnsi="Aptos"/>
                <w:sz w:val="18"/>
                <w:lang w:val="fr-FR"/>
              </w:rPr>
              <w:t>0,11</w:t>
            </w:r>
          </w:p>
        </w:tc>
      </w:tr>
      <w:tr w:rsidR="007D7CC9" w:rsidRPr="009E5F8A" w14:paraId="42F9ECA4" w14:textId="77777777" w:rsidTr="00BB33E3">
        <w:trPr>
          <w:tblHeader/>
          <w:jc w:val="center"/>
        </w:trPr>
        <w:tc>
          <w:tcPr>
            <w:tcW w:w="5100" w:type="dxa"/>
          </w:tcPr>
          <w:p w14:paraId="22052E89" w14:textId="77777777" w:rsidR="007D7CC9" w:rsidRPr="009E5F8A" w:rsidRDefault="007D7CC9" w:rsidP="00BB33E3">
            <w:pPr>
              <w:rPr>
                <w:rFonts w:ascii="Aptos" w:hAnsi="Aptos"/>
                <w:lang w:val="fr-FR"/>
              </w:rPr>
            </w:pPr>
            <w:r w:rsidRPr="009E5F8A">
              <w:rPr>
                <w:rFonts w:ascii="Aptos" w:hAnsi="Aptos"/>
                <w:sz w:val="18"/>
                <w:lang w:val="fr-FR"/>
              </w:rPr>
              <w:t>Espaces verts / Forêt-ville / Biodiversité</w:t>
            </w:r>
          </w:p>
        </w:tc>
        <w:tc>
          <w:tcPr>
            <w:tcW w:w="5100" w:type="dxa"/>
          </w:tcPr>
          <w:p w14:paraId="3BD7057A" w14:textId="77777777" w:rsidR="007D7CC9" w:rsidRPr="009E5F8A" w:rsidRDefault="007D7CC9" w:rsidP="00BB33E3">
            <w:pPr>
              <w:rPr>
                <w:rFonts w:ascii="Aptos" w:hAnsi="Aptos"/>
                <w:lang w:val="fr-FR"/>
              </w:rPr>
            </w:pPr>
            <w:r w:rsidRPr="009E5F8A">
              <w:rPr>
                <w:rFonts w:ascii="Aptos" w:hAnsi="Aptos"/>
                <w:sz w:val="18"/>
                <w:lang w:val="fr-FR"/>
              </w:rPr>
              <w:t>0,09</w:t>
            </w:r>
          </w:p>
        </w:tc>
      </w:tr>
      <w:tr w:rsidR="007D7CC9" w:rsidRPr="009E5F8A" w14:paraId="22E2C1C3" w14:textId="77777777" w:rsidTr="00BB33E3">
        <w:trPr>
          <w:tblHeader/>
          <w:jc w:val="center"/>
        </w:trPr>
        <w:tc>
          <w:tcPr>
            <w:tcW w:w="5100" w:type="dxa"/>
          </w:tcPr>
          <w:p w14:paraId="08F828D2" w14:textId="77777777" w:rsidR="007D7CC9" w:rsidRPr="009E5F8A" w:rsidRDefault="007D7CC9" w:rsidP="00BB33E3">
            <w:pPr>
              <w:rPr>
                <w:rFonts w:ascii="Aptos" w:hAnsi="Aptos"/>
                <w:lang w:val="fr-FR"/>
              </w:rPr>
            </w:pPr>
            <w:r w:rsidRPr="009E5F8A">
              <w:rPr>
                <w:rFonts w:ascii="Aptos" w:hAnsi="Aptos"/>
                <w:sz w:val="18"/>
                <w:lang w:val="fr-FR"/>
              </w:rPr>
              <w:t>Gestion des déchets</w:t>
            </w:r>
          </w:p>
        </w:tc>
        <w:tc>
          <w:tcPr>
            <w:tcW w:w="5100" w:type="dxa"/>
          </w:tcPr>
          <w:p w14:paraId="3342C094" w14:textId="77777777" w:rsidR="007D7CC9" w:rsidRPr="009E5F8A" w:rsidRDefault="007D7CC9" w:rsidP="00BB33E3">
            <w:pPr>
              <w:rPr>
                <w:rFonts w:ascii="Aptos" w:hAnsi="Aptos"/>
                <w:lang w:val="fr-FR"/>
              </w:rPr>
            </w:pPr>
            <w:r w:rsidRPr="009E5F8A">
              <w:rPr>
                <w:rFonts w:ascii="Aptos" w:hAnsi="Aptos"/>
                <w:sz w:val="18"/>
                <w:lang w:val="fr-FR"/>
              </w:rPr>
              <w:t>0,07</w:t>
            </w:r>
          </w:p>
        </w:tc>
      </w:tr>
      <w:tr w:rsidR="007D7CC9" w:rsidRPr="009E5F8A" w14:paraId="780CC9E2" w14:textId="77777777" w:rsidTr="00BB33E3">
        <w:trPr>
          <w:tblHeader/>
          <w:jc w:val="center"/>
        </w:trPr>
        <w:tc>
          <w:tcPr>
            <w:tcW w:w="5100" w:type="dxa"/>
          </w:tcPr>
          <w:p w14:paraId="70302111" w14:textId="77777777" w:rsidR="007D7CC9" w:rsidRPr="009E5F8A" w:rsidRDefault="007D7CC9" w:rsidP="00BB33E3">
            <w:pPr>
              <w:rPr>
                <w:rFonts w:ascii="Aptos" w:hAnsi="Aptos"/>
                <w:lang w:val="fr-FR"/>
              </w:rPr>
            </w:pPr>
            <w:r w:rsidRPr="009E5F8A">
              <w:rPr>
                <w:rFonts w:ascii="Aptos" w:hAnsi="Aptos"/>
                <w:sz w:val="18"/>
                <w:lang w:val="fr-FR"/>
              </w:rPr>
              <w:t>Services culturels &amp; bibliothèques</w:t>
            </w:r>
          </w:p>
        </w:tc>
        <w:tc>
          <w:tcPr>
            <w:tcW w:w="5100" w:type="dxa"/>
          </w:tcPr>
          <w:p w14:paraId="0171711B" w14:textId="77777777" w:rsidR="007D7CC9" w:rsidRPr="009E5F8A" w:rsidRDefault="007D7CC9" w:rsidP="00BB33E3">
            <w:pPr>
              <w:rPr>
                <w:rFonts w:ascii="Aptos" w:hAnsi="Aptos"/>
                <w:lang w:val="fr-FR"/>
              </w:rPr>
            </w:pPr>
            <w:r w:rsidRPr="009E5F8A">
              <w:rPr>
                <w:rFonts w:ascii="Aptos" w:hAnsi="Aptos"/>
                <w:sz w:val="18"/>
                <w:lang w:val="fr-FR"/>
              </w:rPr>
              <w:t>0,05</w:t>
            </w:r>
          </w:p>
        </w:tc>
      </w:tr>
      <w:tr w:rsidR="007D7CC9" w:rsidRPr="009E5F8A" w14:paraId="1261E6A0" w14:textId="77777777" w:rsidTr="00BB33E3">
        <w:trPr>
          <w:tblHeader/>
          <w:jc w:val="center"/>
        </w:trPr>
        <w:tc>
          <w:tcPr>
            <w:tcW w:w="5100" w:type="dxa"/>
          </w:tcPr>
          <w:p w14:paraId="1DA9E255" w14:textId="77777777" w:rsidR="007D7CC9" w:rsidRPr="009E5F8A" w:rsidRDefault="007D7CC9" w:rsidP="00BB33E3">
            <w:pPr>
              <w:rPr>
                <w:rFonts w:ascii="Aptos" w:hAnsi="Aptos"/>
                <w:lang w:val="fr-FR"/>
              </w:rPr>
            </w:pPr>
            <w:r w:rsidRPr="009E5F8A">
              <w:rPr>
                <w:rFonts w:ascii="Aptos" w:hAnsi="Aptos"/>
                <w:sz w:val="18"/>
                <w:lang w:val="fr-FR"/>
              </w:rPr>
              <w:t>Services réglementaires &amp; licences</w:t>
            </w:r>
          </w:p>
        </w:tc>
        <w:tc>
          <w:tcPr>
            <w:tcW w:w="5100" w:type="dxa"/>
          </w:tcPr>
          <w:p w14:paraId="195CA63B" w14:textId="77777777" w:rsidR="007D7CC9" w:rsidRPr="009E5F8A" w:rsidRDefault="007D7CC9" w:rsidP="00BB33E3">
            <w:pPr>
              <w:rPr>
                <w:rFonts w:ascii="Aptos" w:hAnsi="Aptos"/>
                <w:lang w:val="fr-FR"/>
              </w:rPr>
            </w:pPr>
            <w:r w:rsidRPr="009E5F8A">
              <w:rPr>
                <w:rFonts w:ascii="Aptos" w:hAnsi="Aptos"/>
                <w:sz w:val="18"/>
                <w:lang w:val="fr-FR"/>
              </w:rPr>
              <w:t>0,05</w:t>
            </w:r>
          </w:p>
        </w:tc>
      </w:tr>
      <w:tr w:rsidR="007D7CC9" w:rsidRPr="009E5F8A" w14:paraId="3324D542" w14:textId="77777777" w:rsidTr="00BB33E3">
        <w:trPr>
          <w:tblHeader/>
          <w:jc w:val="center"/>
        </w:trPr>
        <w:tc>
          <w:tcPr>
            <w:tcW w:w="5100" w:type="dxa"/>
          </w:tcPr>
          <w:p w14:paraId="50D93CA6" w14:textId="77777777" w:rsidR="007D7CC9" w:rsidRPr="009E5F8A" w:rsidRDefault="007D7CC9" w:rsidP="00BB33E3">
            <w:pPr>
              <w:rPr>
                <w:rFonts w:ascii="Aptos" w:hAnsi="Aptos"/>
                <w:lang w:val="fr-FR"/>
              </w:rPr>
            </w:pPr>
            <w:r w:rsidRPr="009E5F8A">
              <w:rPr>
                <w:rFonts w:ascii="Aptos" w:hAnsi="Aptos"/>
                <w:sz w:val="18"/>
                <w:lang w:val="fr-FR"/>
              </w:rPr>
              <w:t>Partenariats communautaires</w:t>
            </w:r>
          </w:p>
        </w:tc>
        <w:tc>
          <w:tcPr>
            <w:tcW w:w="5100" w:type="dxa"/>
          </w:tcPr>
          <w:p w14:paraId="38F892CF" w14:textId="77777777" w:rsidR="007D7CC9" w:rsidRPr="009E5F8A" w:rsidRDefault="007D7CC9" w:rsidP="00BB33E3">
            <w:pPr>
              <w:rPr>
                <w:rFonts w:ascii="Aptos" w:hAnsi="Aptos"/>
                <w:lang w:val="fr-FR"/>
              </w:rPr>
            </w:pPr>
            <w:r w:rsidRPr="009E5F8A">
              <w:rPr>
                <w:rFonts w:ascii="Aptos" w:hAnsi="Aptos"/>
                <w:sz w:val="18"/>
                <w:lang w:val="fr-FR"/>
              </w:rPr>
              <w:t>0,04</w:t>
            </w:r>
          </w:p>
        </w:tc>
      </w:tr>
      <w:tr w:rsidR="007D7CC9" w:rsidRPr="009E5F8A" w14:paraId="5080E344" w14:textId="77777777" w:rsidTr="00BB33E3">
        <w:trPr>
          <w:tblHeader/>
          <w:jc w:val="center"/>
        </w:trPr>
        <w:tc>
          <w:tcPr>
            <w:tcW w:w="5100" w:type="dxa"/>
          </w:tcPr>
          <w:p w14:paraId="27161873" w14:textId="77777777" w:rsidR="007D7CC9" w:rsidRPr="009E5F8A" w:rsidRDefault="007D7CC9" w:rsidP="00BB33E3">
            <w:pPr>
              <w:rPr>
                <w:rFonts w:ascii="Aptos" w:hAnsi="Aptos"/>
                <w:lang w:val="fr-FR"/>
              </w:rPr>
            </w:pPr>
            <w:r w:rsidRPr="009E5F8A">
              <w:rPr>
                <w:rFonts w:ascii="Aptos" w:hAnsi="Aptos"/>
                <w:sz w:val="18"/>
                <w:lang w:val="fr-FR"/>
              </w:rPr>
              <w:t>Gestion des investissements / actifs</w:t>
            </w:r>
          </w:p>
        </w:tc>
        <w:tc>
          <w:tcPr>
            <w:tcW w:w="5100" w:type="dxa"/>
          </w:tcPr>
          <w:p w14:paraId="15B4B498" w14:textId="77777777" w:rsidR="007D7CC9" w:rsidRPr="009E5F8A" w:rsidRDefault="007D7CC9" w:rsidP="00BB33E3">
            <w:pPr>
              <w:rPr>
                <w:rFonts w:ascii="Aptos" w:hAnsi="Aptos"/>
                <w:lang w:val="fr-FR"/>
              </w:rPr>
            </w:pPr>
            <w:r w:rsidRPr="009E5F8A">
              <w:rPr>
                <w:rFonts w:ascii="Aptos" w:hAnsi="Aptos"/>
                <w:sz w:val="18"/>
                <w:lang w:val="fr-FR"/>
              </w:rPr>
              <w:t>0,03</w:t>
            </w:r>
          </w:p>
        </w:tc>
      </w:tr>
      <w:tr w:rsidR="007D7CC9" w:rsidRPr="009E5F8A" w14:paraId="4491C172" w14:textId="77777777" w:rsidTr="00BB33E3">
        <w:trPr>
          <w:tblHeader/>
          <w:jc w:val="center"/>
        </w:trPr>
        <w:tc>
          <w:tcPr>
            <w:tcW w:w="5100" w:type="dxa"/>
          </w:tcPr>
          <w:p w14:paraId="7B9B7C72" w14:textId="77777777" w:rsidR="007D7CC9" w:rsidRPr="009E5F8A" w:rsidRDefault="007D7CC9" w:rsidP="00BB33E3">
            <w:pPr>
              <w:rPr>
                <w:rFonts w:ascii="Aptos" w:hAnsi="Aptos"/>
                <w:lang w:val="fr-FR"/>
              </w:rPr>
            </w:pPr>
            <w:r w:rsidRPr="009E5F8A">
              <w:rPr>
                <w:rFonts w:ascii="Aptos" w:hAnsi="Aptos"/>
                <w:sz w:val="18"/>
                <w:lang w:val="fr-FR"/>
              </w:rPr>
              <w:t>Arts &amp; événements</w:t>
            </w:r>
          </w:p>
        </w:tc>
        <w:tc>
          <w:tcPr>
            <w:tcW w:w="5100" w:type="dxa"/>
          </w:tcPr>
          <w:p w14:paraId="17020BF7" w14:textId="77777777" w:rsidR="007D7CC9" w:rsidRPr="009E5F8A" w:rsidRDefault="007D7CC9" w:rsidP="00BB33E3">
            <w:pPr>
              <w:rPr>
                <w:rFonts w:ascii="Aptos" w:hAnsi="Aptos"/>
                <w:lang w:val="fr-FR"/>
              </w:rPr>
            </w:pPr>
            <w:r w:rsidRPr="009E5F8A">
              <w:rPr>
                <w:rFonts w:ascii="Aptos" w:hAnsi="Aptos"/>
                <w:sz w:val="18"/>
                <w:lang w:val="fr-FR"/>
              </w:rPr>
              <w:t>0,03</w:t>
            </w:r>
          </w:p>
        </w:tc>
      </w:tr>
      <w:tr w:rsidR="007D7CC9" w:rsidRPr="009E5F8A" w14:paraId="1BC5310E" w14:textId="77777777" w:rsidTr="00BB33E3">
        <w:trPr>
          <w:tblHeader/>
          <w:jc w:val="center"/>
        </w:trPr>
        <w:tc>
          <w:tcPr>
            <w:tcW w:w="5100" w:type="dxa"/>
          </w:tcPr>
          <w:p w14:paraId="26B70D87" w14:textId="77777777" w:rsidR="007D7CC9" w:rsidRPr="009E5F8A" w:rsidRDefault="007D7CC9" w:rsidP="00BB33E3">
            <w:pPr>
              <w:rPr>
                <w:rFonts w:ascii="Aptos" w:hAnsi="Aptos"/>
                <w:lang w:val="fr-FR"/>
              </w:rPr>
            </w:pPr>
            <w:r w:rsidRPr="009E5F8A">
              <w:rPr>
                <w:rFonts w:ascii="Aptos" w:hAnsi="Aptos"/>
                <w:sz w:val="18"/>
                <w:lang w:val="fr-FR"/>
              </w:rPr>
              <w:t>Support à la gouvernance</w:t>
            </w:r>
          </w:p>
        </w:tc>
        <w:tc>
          <w:tcPr>
            <w:tcW w:w="5100" w:type="dxa"/>
          </w:tcPr>
          <w:p w14:paraId="578EC916" w14:textId="77777777" w:rsidR="007D7CC9" w:rsidRPr="009E5F8A" w:rsidRDefault="007D7CC9" w:rsidP="00BB33E3">
            <w:pPr>
              <w:rPr>
                <w:rFonts w:ascii="Aptos" w:hAnsi="Aptos"/>
                <w:lang w:val="fr-FR"/>
              </w:rPr>
            </w:pPr>
            <w:r w:rsidRPr="009E5F8A">
              <w:rPr>
                <w:rFonts w:ascii="Aptos" w:hAnsi="Aptos"/>
                <w:sz w:val="18"/>
                <w:lang w:val="fr-FR"/>
              </w:rPr>
              <w:t>0,03</w:t>
            </w:r>
          </w:p>
        </w:tc>
      </w:tr>
      <w:tr w:rsidR="007D7CC9" w:rsidRPr="009E5F8A" w14:paraId="45CA7A97" w14:textId="77777777" w:rsidTr="00BB33E3">
        <w:trPr>
          <w:tblHeader/>
          <w:jc w:val="center"/>
        </w:trPr>
        <w:tc>
          <w:tcPr>
            <w:tcW w:w="5100" w:type="dxa"/>
          </w:tcPr>
          <w:p w14:paraId="76F79450" w14:textId="77777777" w:rsidR="007D7CC9" w:rsidRPr="009E5F8A" w:rsidRDefault="007D7CC9" w:rsidP="00BB33E3">
            <w:pPr>
              <w:rPr>
                <w:rFonts w:ascii="Aptos" w:hAnsi="Aptos"/>
                <w:lang w:val="fr-FR"/>
              </w:rPr>
            </w:pPr>
            <w:r w:rsidRPr="009E5F8A">
              <w:rPr>
                <w:rFonts w:ascii="Aptos" w:hAnsi="Aptos"/>
                <w:sz w:val="18"/>
                <w:lang w:val="fr-FR"/>
              </w:rPr>
              <w:t>Développement économique</w:t>
            </w:r>
          </w:p>
        </w:tc>
        <w:tc>
          <w:tcPr>
            <w:tcW w:w="5100" w:type="dxa"/>
          </w:tcPr>
          <w:p w14:paraId="1301C40A" w14:textId="77777777" w:rsidR="007D7CC9" w:rsidRPr="009E5F8A" w:rsidRDefault="007D7CC9" w:rsidP="00BB33E3">
            <w:pPr>
              <w:rPr>
                <w:rFonts w:ascii="Aptos" w:hAnsi="Aptos"/>
                <w:lang w:val="fr-FR"/>
              </w:rPr>
            </w:pPr>
            <w:r w:rsidRPr="009E5F8A">
              <w:rPr>
                <w:rFonts w:ascii="Aptos" w:hAnsi="Aptos"/>
                <w:sz w:val="18"/>
                <w:lang w:val="fr-FR"/>
              </w:rPr>
              <w:t>0,02</w:t>
            </w:r>
          </w:p>
        </w:tc>
      </w:tr>
      <w:tr w:rsidR="007D7CC9" w:rsidRPr="009E5F8A" w14:paraId="794493DD" w14:textId="77777777" w:rsidTr="00BB33E3">
        <w:trPr>
          <w:tblHeader/>
          <w:jc w:val="center"/>
        </w:trPr>
        <w:tc>
          <w:tcPr>
            <w:tcW w:w="5100" w:type="dxa"/>
          </w:tcPr>
          <w:p w14:paraId="03CDCD39" w14:textId="77777777" w:rsidR="007D7CC9" w:rsidRPr="009E5F8A" w:rsidRDefault="007D7CC9" w:rsidP="00BB33E3">
            <w:pPr>
              <w:rPr>
                <w:rFonts w:ascii="Aptos" w:hAnsi="Aptos"/>
                <w:lang w:val="fr-FR"/>
              </w:rPr>
            </w:pPr>
            <w:r w:rsidRPr="009E5F8A">
              <w:rPr>
                <w:rFonts w:ascii="Aptos" w:hAnsi="Aptos"/>
                <w:sz w:val="18"/>
                <w:lang w:val="fr-FR"/>
              </w:rPr>
              <w:t>Gestion des urgences</w:t>
            </w:r>
          </w:p>
        </w:tc>
        <w:tc>
          <w:tcPr>
            <w:tcW w:w="5100" w:type="dxa"/>
          </w:tcPr>
          <w:p w14:paraId="0946B96F" w14:textId="77777777" w:rsidR="007D7CC9" w:rsidRPr="009E5F8A" w:rsidRDefault="007D7CC9" w:rsidP="00BB33E3">
            <w:pPr>
              <w:rPr>
                <w:rFonts w:ascii="Aptos" w:hAnsi="Aptos"/>
                <w:lang w:val="fr-FR"/>
              </w:rPr>
            </w:pPr>
            <w:r w:rsidRPr="009E5F8A">
              <w:rPr>
                <w:rFonts w:ascii="Aptos" w:hAnsi="Aptos"/>
                <w:sz w:val="18"/>
                <w:lang w:val="fr-FR"/>
              </w:rPr>
              <w:t>0,02</w:t>
            </w:r>
          </w:p>
        </w:tc>
      </w:tr>
      <w:tr w:rsidR="007D7CC9" w:rsidRPr="009E5F8A" w14:paraId="52FFE202" w14:textId="77777777" w:rsidTr="00BB33E3">
        <w:trPr>
          <w:tblHeader/>
          <w:jc w:val="center"/>
        </w:trPr>
        <w:tc>
          <w:tcPr>
            <w:tcW w:w="5100" w:type="dxa"/>
          </w:tcPr>
          <w:p w14:paraId="56E97C7F" w14:textId="77777777" w:rsidR="007D7CC9" w:rsidRPr="009E5F8A" w:rsidRDefault="007D7CC9" w:rsidP="00BB33E3">
            <w:pPr>
              <w:rPr>
                <w:rFonts w:ascii="Aptos" w:hAnsi="Aptos"/>
                <w:lang w:val="fr-FR"/>
              </w:rPr>
            </w:pPr>
            <w:r w:rsidRPr="009E5F8A">
              <w:rPr>
                <w:rFonts w:ascii="Aptos" w:hAnsi="Aptos"/>
                <w:sz w:val="18"/>
                <w:lang w:val="fr-FR"/>
              </w:rPr>
              <w:t>Protection contre les inondations (complément)</w:t>
            </w:r>
          </w:p>
        </w:tc>
        <w:tc>
          <w:tcPr>
            <w:tcW w:w="5100" w:type="dxa"/>
          </w:tcPr>
          <w:p w14:paraId="5659EDAD" w14:textId="77777777" w:rsidR="007D7CC9" w:rsidRPr="009E5F8A" w:rsidRDefault="007D7CC9" w:rsidP="00BB33E3">
            <w:pPr>
              <w:rPr>
                <w:rFonts w:ascii="Aptos" w:hAnsi="Aptos"/>
                <w:lang w:val="fr-FR"/>
              </w:rPr>
            </w:pPr>
            <w:r w:rsidRPr="009E5F8A">
              <w:rPr>
                <w:rFonts w:ascii="Aptos" w:hAnsi="Aptos"/>
                <w:sz w:val="18"/>
                <w:lang w:val="fr-FR"/>
              </w:rPr>
              <w:t>0,01</w:t>
            </w:r>
          </w:p>
        </w:tc>
      </w:tr>
      <w:tr w:rsidR="007D7CC9" w:rsidRPr="009E5F8A" w14:paraId="603BD052" w14:textId="77777777" w:rsidTr="00BB33E3">
        <w:trPr>
          <w:tblHeader/>
          <w:jc w:val="center"/>
        </w:trPr>
        <w:tc>
          <w:tcPr>
            <w:tcW w:w="5100" w:type="dxa"/>
          </w:tcPr>
          <w:p w14:paraId="3D8E509A" w14:textId="77777777" w:rsidR="007D7CC9" w:rsidRPr="009E5F8A" w:rsidRDefault="007D7CC9" w:rsidP="00BB33E3">
            <w:pPr>
              <w:rPr>
                <w:rFonts w:ascii="Aptos" w:hAnsi="Aptos"/>
                <w:lang w:val="fr-FR"/>
              </w:rPr>
            </w:pPr>
            <w:r w:rsidRPr="009E5F8A">
              <w:rPr>
                <w:rFonts w:ascii="Aptos" w:hAnsi="Aptos"/>
                <w:sz w:val="18"/>
                <w:lang w:val="fr-FR"/>
              </w:rPr>
              <w:t>Total local</w:t>
            </w:r>
          </w:p>
        </w:tc>
        <w:tc>
          <w:tcPr>
            <w:tcW w:w="5100" w:type="dxa"/>
          </w:tcPr>
          <w:p w14:paraId="17B6F0AD" w14:textId="77777777" w:rsidR="007D7CC9" w:rsidRPr="009E5F8A" w:rsidRDefault="007D7CC9" w:rsidP="00BB33E3">
            <w:pPr>
              <w:rPr>
                <w:rFonts w:ascii="Aptos" w:hAnsi="Aptos"/>
                <w:lang w:val="fr-FR"/>
              </w:rPr>
            </w:pPr>
            <w:r w:rsidRPr="009E5F8A">
              <w:rPr>
                <w:rFonts w:ascii="Aptos" w:hAnsi="Aptos"/>
                <w:sz w:val="18"/>
                <w:lang w:val="fr-FR"/>
              </w:rPr>
              <w:t>1,00</w:t>
            </w:r>
          </w:p>
        </w:tc>
      </w:tr>
    </w:tbl>
    <w:p w14:paraId="71B3D1D2" w14:textId="77777777" w:rsidR="007D7CC9" w:rsidRPr="009E5F8A" w:rsidRDefault="007D7CC9" w:rsidP="007D7CC9">
      <w:pPr>
        <w:spacing w:before="60" w:after="160"/>
        <w:jc w:val="center"/>
        <w:rPr>
          <w:rFonts w:ascii="Aptos" w:hAnsi="Aptos"/>
          <w:lang w:val="fr-FR"/>
        </w:rPr>
      </w:pPr>
      <w:r w:rsidRPr="009E5F8A">
        <w:rPr>
          <w:rFonts w:ascii="Aptos" w:hAnsi="Aptos"/>
          <w:b/>
          <w:i/>
          <w:color w:val="464646"/>
          <w:sz w:val="18"/>
          <w:lang w:val="fr-FR"/>
        </w:rPr>
        <w:t>Fig. 2 – Répartition du 1,00 € local (Pajak Daerah DKI Jakarta)</w:t>
      </w:r>
    </w:p>
    <w:p w14:paraId="1A85650B" w14:textId="77777777" w:rsidR="007D7CC9" w:rsidRPr="009E5F8A" w:rsidRDefault="007D7CC9" w:rsidP="007D7CC9">
      <w:pPr>
        <w:pStyle w:val="Heading3"/>
        <w:rPr>
          <w:rFonts w:ascii="Aptos" w:hAnsi="Aptos"/>
          <w:lang w:val="fr-FR"/>
        </w:rPr>
      </w:pPr>
      <w:bookmarkStart w:id="120" w:name="_Toc236489335"/>
      <w:bookmarkStart w:id="121" w:name="_Toc236489414"/>
      <w:r w:rsidRPr="009E5F8A">
        <w:rPr>
          <w:rFonts w:ascii="Aptos" w:hAnsi="Aptos"/>
          <w:color w:val="1F4E79"/>
          <w:sz w:val="26"/>
          <w:lang w:val="fr-FR"/>
        </w:rPr>
        <w:t>4. Chapitre 2 – Part des budgets publics nationaux (échelle Agglomération ≈ 41,9 M)</w:t>
      </w:r>
      <w:bookmarkEnd w:id="120"/>
      <w:bookmarkEnd w:id="121"/>
    </w:p>
    <w:p w14:paraId="0A82254D" w14:textId="77777777" w:rsidR="007D7CC9" w:rsidRPr="009E5F8A" w:rsidRDefault="007D7CC9" w:rsidP="007D7CC9">
      <w:pPr>
        <w:spacing w:after="100"/>
        <w:rPr>
          <w:rFonts w:ascii="Aptos" w:hAnsi="Aptos"/>
          <w:lang w:val="fr-FR"/>
        </w:rPr>
      </w:pPr>
      <w:r w:rsidRPr="009E5F8A">
        <w:rPr>
          <w:rFonts w:ascii="Aptos" w:hAnsi="Aptos"/>
          <w:lang w:val="fr-FR"/>
        </w:rPr>
        <w:t>Part de population de l’agglomération ≈ 14,5 % de l’Indonésie. Les montants nationaux sont donc significativement plus élevés que sur le seul périmètre DKI.</w:t>
      </w:r>
    </w:p>
    <w:tbl>
      <w:tblPr>
        <w:tblStyle w:val="TableGrid"/>
        <w:tblW w:w="0" w:type="auto"/>
        <w:jc w:val="center"/>
        <w:tblLook w:val="04A0" w:firstRow="1" w:lastRow="0" w:firstColumn="1" w:lastColumn="0" w:noHBand="0" w:noVBand="1"/>
      </w:tblPr>
      <w:tblGrid>
        <w:gridCol w:w="5095"/>
        <w:gridCol w:w="5095"/>
      </w:tblGrid>
      <w:tr w:rsidR="007D7CC9" w:rsidRPr="009E5F8A" w14:paraId="0D59208F" w14:textId="77777777" w:rsidTr="00BB33E3">
        <w:trPr>
          <w:jc w:val="center"/>
        </w:trPr>
        <w:tc>
          <w:tcPr>
            <w:tcW w:w="5100" w:type="dxa"/>
          </w:tcPr>
          <w:p w14:paraId="3DDDA755" w14:textId="77777777" w:rsidR="007D7CC9" w:rsidRPr="009E5F8A" w:rsidRDefault="007D7CC9" w:rsidP="00BB33E3">
            <w:pPr>
              <w:rPr>
                <w:rFonts w:ascii="Aptos" w:hAnsi="Aptos"/>
                <w:lang w:val="fr-FR"/>
              </w:rPr>
            </w:pPr>
            <w:r w:rsidRPr="009E5F8A">
              <w:rPr>
                <w:rFonts w:ascii="Aptos" w:hAnsi="Aptos"/>
                <w:b/>
                <w:sz w:val="18"/>
                <w:lang w:val="fr-FR"/>
              </w:rPr>
              <w:t>Catégorie</w:t>
            </w:r>
          </w:p>
        </w:tc>
        <w:tc>
          <w:tcPr>
            <w:tcW w:w="5100" w:type="dxa"/>
          </w:tcPr>
          <w:p w14:paraId="7B692FBB" w14:textId="77777777" w:rsidR="007D7CC9" w:rsidRPr="009E5F8A" w:rsidRDefault="007D7CC9" w:rsidP="00BB33E3">
            <w:pPr>
              <w:rPr>
                <w:rFonts w:ascii="Aptos" w:hAnsi="Aptos"/>
                <w:lang w:val="fr-FR"/>
              </w:rPr>
            </w:pPr>
            <w:r w:rsidRPr="009E5F8A">
              <w:rPr>
                <w:rFonts w:ascii="Aptos" w:hAnsi="Aptos"/>
                <w:b/>
                <w:sz w:val="18"/>
                <w:lang w:val="fr-FR"/>
              </w:rPr>
              <w:t>Montant approximatif (€)</w:t>
            </w:r>
          </w:p>
        </w:tc>
      </w:tr>
      <w:tr w:rsidR="007D7CC9" w:rsidRPr="009E5F8A" w14:paraId="56EA155B" w14:textId="77777777" w:rsidTr="00BB33E3">
        <w:trPr>
          <w:jc w:val="center"/>
        </w:trPr>
        <w:tc>
          <w:tcPr>
            <w:tcW w:w="5100" w:type="dxa"/>
          </w:tcPr>
          <w:p w14:paraId="2F42B896" w14:textId="77777777" w:rsidR="007D7CC9" w:rsidRPr="009E5F8A" w:rsidRDefault="007D7CC9" w:rsidP="00BB33E3">
            <w:pPr>
              <w:rPr>
                <w:rFonts w:ascii="Aptos" w:hAnsi="Aptos"/>
                <w:lang w:val="fr-FR"/>
              </w:rPr>
            </w:pPr>
            <w:r w:rsidRPr="009E5F8A">
              <w:rPr>
                <w:rFonts w:ascii="Aptos" w:hAnsi="Aptos"/>
                <w:sz w:val="18"/>
                <w:lang w:val="fr-FR"/>
              </w:rPr>
              <w:t>Santé</w:t>
            </w:r>
          </w:p>
        </w:tc>
        <w:tc>
          <w:tcPr>
            <w:tcW w:w="5100" w:type="dxa"/>
          </w:tcPr>
          <w:p w14:paraId="2DB01388" w14:textId="77777777" w:rsidR="007D7CC9" w:rsidRPr="009E5F8A" w:rsidRDefault="007D7CC9" w:rsidP="00BB33E3">
            <w:pPr>
              <w:rPr>
                <w:rFonts w:ascii="Aptos" w:hAnsi="Aptos"/>
                <w:lang w:val="fr-FR"/>
              </w:rPr>
            </w:pPr>
            <w:r w:rsidRPr="009E5F8A">
              <w:rPr>
                <w:rFonts w:ascii="Aptos" w:hAnsi="Aptos"/>
                <w:sz w:val="18"/>
                <w:lang w:val="fr-FR"/>
              </w:rPr>
              <w:t>2,0 – 2,6</w:t>
            </w:r>
          </w:p>
        </w:tc>
      </w:tr>
      <w:tr w:rsidR="007D7CC9" w:rsidRPr="009E5F8A" w14:paraId="6A283C07" w14:textId="77777777" w:rsidTr="00BB33E3">
        <w:trPr>
          <w:jc w:val="center"/>
        </w:trPr>
        <w:tc>
          <w:tcPr>
            <w:tcW w:w="5100" w:type="dxa"/>
          </w:tcPr>
          <w:p w14:paraId="6D4232CD" w14:textId="77777777" w:rsidR="007D7CC9" w:rsidRPr="009E5F8A" w:rsidRDefault="007D7CC9" w:rsidP="00BB33E3">
            <w:pPr>
              <w:rPr>
                <w:rFonts w:ascii="Aptos" w:hAnsi="Aptos"/>
                <w:lang w:val="fr-FR"/>
              </w:rPr>
            </w:pPr>
            <w:r w:rsidRPr="009E5F8A">
              <w:rPr>
                <w:rFonts w:ascii="Aptos" w:hAnsi="Aptos"/>
                <w:sz w:val="18"/>
                <w:lang w:val="fr-FR"/>
              </w:rPr>
              <w:t>Protection sociale &amp; welfare</w:t>
            </w:r>
          </w:p>
        </w:tc>
        <w:tc>
          <w:tcPr>
            <w:tcW w:w="5100" w:type="dxa"/>
          </w:tcPr>
          <w:p w14:paraId="1FA3CE26" w14:textId="77777777" w:rsidR="007D7CC9" w:rsidRPr="009E5F8A" w:rsidRDefault="007D7CC9" w:rsidP="00BB33E3">
            <w:pPr>
              <w:rPr>
                <w:rFonts w:ascii="Aptos" w:hAnsi="Aptos"/>
                <w:lang w:val="fr-FR"/>
              </w:rPr>
            </w:pPr>
            <w:r w:rsidRPr="009E5F8A">
              <w:rPr>
                <w:rFonts w:ascii="Aptos" w:hAnsi="Aptos"/>
                <w:sz w:val="18"/>
                <w:lang w:val="fr-FR"/>
              </w:rPr>
              <w:t>1,7 – 2,3</w:t>
            </w:r>
          </w:p>
        </w:tc>
      </w:tr>
      <w:tr w:rsidR="007D7CC9" w:rsidRPr="009E5F8A" w14:paraId="3499C609" w14:textId="77777777" w:rsidTr="00BB33E3">
        <w:trPr>
          <w:jc w:val="center"/>
        </w:trPr>
        <w:tc>
          <w:tcPr>
            <w:tcW w:w="5100" w:type="dxa"/>
          </w:tcPr>
          <w:p w14:paraId="2493C989" w14:textId="77777777" w:rsidR="007D7CC9" w:rsidRPr="009E5F8A" w:rsidRDefault="007D7CC9" w:rsidP="00BB33E3">
            <w:pPr>
              <w:rPr>
                <w:rFonts w:ascii="Aptos" w:hAnsi="Aptos"/>
                <w:lang w:val="fr-FR"/>
              </w:rPr>
            </w:pPr>
            <w:r w:rsidRPr="009E5F8A">
              <w:rPr>
                <w:rFonts w:ascii="Aptos" w:hAnsi="Aptos"/>
                <w:sz w:val="18"/>
                <w:lang w:val="fr-FR"/>
              </w:rPr>
              <w:t>Éducation</w:t>
            </w:r>
          </w:p>
        </w:tc>
        <w:tc>
          <w:tcPr>
            <w:tcW w:w="5100" w:type="dxa"/>
          </w:tcPr>
          <w:p w14:paraId="54A76350" w14:textId="77777777" w:rsidR="007D7CC9" w:rsidRPr="009E5F8A" w:rsidRDefault="007D7CC9" w:rsidP="00BB33E3">
            <w:pPr>
              <w:rPr>
                <w:rFonts w:ascii="Aptos" w:hAnsi="Aptos"/>
                <w:lang w:val="fr-FR"/>
              </w:rPr>
            </w:pPr>
            <w:r w:rsidRPr="009E5F8A">
              <w:rPr>
                <w:rFonts w:ascii="Aptos" w:hAnsi="Aptos"/>
                <w:sz w:val="18"/>
                <w:lang w:val="fr-FR"/>
              </w:rPr>
              <w:t>1,5 – 2,1</w:t>
            </w:r>
          </w:p>
        </w:tc>
      </w:tr>
      <w:tr w:rsidR="007D7CC9" w:rsidRPr="009E5F8A" w14:paraId="3522D3D3" w14:textId="77777777" w:rsidTr="00BB33E3">
        <w:trPr>
          <w:jc w:val="center"/>
        </w:trPr>
        <w:tc>
          <w:tcPr>
            <w:tcW w:w="5100" w:type="dxa"/>
          </w:tcPr>
          <w:p w14:paraId="0A4F162C" w14:textId="77777777" w:rsidR="007D7CC9" w:rsidRPr="009E5F8A" w:rsidRDefault="007D7CC9" w:rsidP="00BB33E3">
            <w:pPr>
              <w:rPr>
                <w:rFonts w:ascii="Aptos" w:hAnsi="Aptos"/>
                <w:lang w:val="fr-FR"/>
              </w:rPr>
            </w:pPr>
            <w:r w:rsidRPr="009E5F8A">
              <w:rPr>
                <w:rFonts w:ascii="Aptos" w:hAnsi="Aptos"/>
                <w:sz w:val="18"/>
                <w:lang w:val="fr-FR"/>
              </w:rPr>
              <w:t>Infrastructures &amp; transports nationaux</w:t>
            </w:r>
          </w:p>
        </w:tc>
        <w:tc>
          <w:tcPr>
            <w:tcW w:w="5100" w:type="dxa"/>
          </w:tcPr>
          <w:p w14:paraId="171253BA" w14:textId="77777777" w:rsidR="007D7CC9" w:rsidRPr="009E5F8A" w:rsidRDefault="007D7CC9" w:rsidP="00BB33E3">
            <w:pPr>
              <w:rPr>
                <w:rFonts w:ascii="Aptos" w:hAnsi="Aptos"/>
                <w:lang w:val="fr-FR"/>
              </w:rPr>
            </w:pPr>
            <w:r w:rsidRPr="009E5F8A">
              <w:rPr>
                <w:rFonts w:ascii="Aptos" w:hAnsi="Aptos"/>
                <w:sz w:val="18"/>
                <w:lang w:val="fr-FR"/>
              </w:rPr>
              <w:t>1,2 – 1,7</w:t>
            </w:r>
          </w:p>
        </w:tc>
      </w:tr>
      <w:tr w:rsidR="007D7CC9" w:rsidRPr="009E5F8A" w14:paraId="57A40396" w14:textId="77777777" w:rsidTr="00BB33E3">
        <w:trPr>
          <w:jc w:val="center"/>
        </w:trPr>
        <w:tc>
          <w:tcPr>
            <w:tcW w:w="5100" w:type="dxa"/>
          </w:tcPr>
          <w:p w14:paraId="1425038C" w14:textId="77777777" w:rsidR="007D7CC9" w:rsidRPr="009E5F8A" w:rsidRDefault="007D7CC9" w:rsidP="00BB33E3">
            <w:pPr>
              <w:rPr>
                <w:rFonts w:ascii="Aptos" w:hAnsi="Aptos"/>
                <w:lang w:val="fr-FR"/>
              </w:rPr>
            </w:pPr>
            <w:r w:rsidRPr="009E5F8A">
              <w:rPr>
                <w:rFonts w:ascii="Aptos" w:hAnsi="Aptos"/>
                <w:sz w:val="18"/>
                <w:lang w:val="fr-FR"/>
              </w:rPr>
              <w:t>Coûts de la dette / Finance</w:t>
            </w:r>
          </w:p>
        </w:tc>
        <w:tc>
          <w:tcPr>
            <w:tcW w:w="5100" w:type="dxa"/>
          </w:tcPr>
          <w:p w14:paraId="6B05C6AE" w14:textId="77777777" w:rsidR="007D7CC9" w:rsidRPr="009E5F8A" w:rsidRDefault="007D7CC9" w:rsidP="00BB33E3">
            <w:pPr>
              <w:rPr>
                <w:rFonts w:ascii="Aptos" w:hAnsi="Aptos"/>
                <w:lang w:val="fr-FR"/>
              </w:rPr>
            </w:pPr>
            <w:r w:rsidRPr="009E5F8A">
              <w:rPr>
                <w:rFonts w:ascii="Aptos" w:hAnsi="Aptos"/>
                <w:sz w:val="18"/>
                <w:lang w:val="fr-FR"/>
              </w:rPr>
              <w:t>1,0 – 1,5</w:t>
            </w:r>
          </w:p>
        </w:tc>
      </w:tr>
      <w:tr w:rsidR="007D7CC9" w:rsidRPr="009E5F8A" w14:paraId="2F7F288D" w14:textId="77777777" w:rsidTr="00BB33E3">
        <w:trPr>
          <w:jc w:val="center"/>
        </w:trPr>
        <w:tc>
          <w:tcPr>
            <w:tcW w:w="5100" w:type="dxa"/>
          </w:tcPr>
          <w:p w14:paraId="4A2A6D6E" w14:textId="77777777" w:rsidR="007D7CC9" w:rsidRPr="009E5F8A" w:rsidRDefault="007D7CC9" w:rsidP="00BB33E3">
            <w:pPr>
              <w:rPr>
                <w:rFonts w:ascii="Aptos" w:hAnsi="Aptos"/>
                <w:lang w:val="fr-FR"/>
              </w:rPr>
            </w:pPr>
            <w:r w:rsidRPr="009E5F8A">
              <w:rPr>
                <w:rFonts w:ascii="Aptos" w:hAnsi="Aptos"/>
                <w:sz w:val="18"/>
                <w:lang w:val="fr-FR"/>
              </w:rPr>
              <w:t>Ordre public, police, justice</w:t>
            </w:r>
          </w:p>
        </w:tc>
        <w:tc>
          <w:tcPr>
            <w:tcW w:w="5100" w:type="dxa"/>
          </w:tcPr>
          <w:p w14:paraId="58B4E9EE" w14:textId="77777777" w:rsidR="007D7CC9" w:rsidRPr="009E5F8A" w:rsidRDefault="007D7CC9" w:rsidP="00BB33E3">
            <w:pPr>
              <w:rPr>
                <w:rFonts w:ascii="Aptos" w:hAnsi="Aptos"/>
                <w:lang w:val="fr-FR"/>
              </w:rPr>
            </w:pPr>
            <w:r w:rsidRPr="009E5F8A">
              <w:rPr>
                <w:rFonts w:ascii="Aptos" w:hAnsi="Aptos"/>
                <w:sz w:val="18"/>
                <w:lang w:val="fr-FR"/>
              </w:rPr>
              <w:t>0,8 – 1,2</w:t>
            </w:r>
          </w:p>
        </w:tc>
      </w:tr>
      <w:tr w:rsidR="007D7CC9" w:rsidRPr="009E5F8A" w14:paraId="21691014" w14:textId="77777777" w:rsidTr="00BB33E3">
        <w:trPr>
          <w:jc w:val="center"/>
        </w:trPr>
        <w:tc>
          <w:tcPr>
            <w:tcW w:w="5100" w:type="dxa"/>
          </w:tcPr>
          <w:p w14:paraId="3C4381F0" w14:textId="77777777" w:rsidR="007D7CC9" w:rsidRPr="009E5F8A" w:rsidRDefault="007D7CC9" w:rsidP="00BB33E3">
            <w:pPr>
              <w:rPr>
                <w:rFonts w:ascii="Aptos" w:hAnsi="Aptos"/>
                <w:lang w:val="fr-FR"/>
              </w:rPr>
            </w:pPr>
            <w:r w:rsidRPr="009E5F8A">
              <w:rPr>
                <w:rFonts w:ascii="Aptos" w:hAnsi="Aptos"/>
                <w:sz w:val="18"/>
                <w:lang w:val="fr-FR"/>
              </w:rPr>
              <w:t>Services gouvernementaux centraux</w:t>
            </w:r>
          </w:p>
        </w:tc>
        <w:tc>
          <w:tcPr>
            <w:tcW w:w="5100" w:type="dxa"/>
          </w:tcPr>
          <w:p w14:paraId="04DCB06E" w14:textId="77777777" w:rsidR="007D7CC9" w:rsidRPr="009E5F8A" w:rsidRDefault="007D7CC9" w:rsidP="00BB33E3">
            <w:pPr>
              <w:rPr>
                <w:rFonts w:ascii="Aptos" w:hAnsi="Aptos"/>
                <w:lang w:val="fr-FR"/>
              </w:rPr>
            </w:pPr>
            <w:r w:rsidRPr="009E5F8A">
              <w:rPr>
                <w:rFonts w:ascii="Aptos" w:hAnsi="Aptos"/>
                <w:sz w:val="18"/>
                <w:lang w:val="fr-FR"/>
              </w:rPr>
              <w:t>0,6 – 1,0</w:t>
            </w:r>
          </w:p>
        </w:tc>
      </w:tr>
      <w:tr w:rsidR="007D7CC9" w:rsidRPr="009E5F8A" w14:paraId="22FE1F39" w14:textId="77777777" w:rsidTr="00BB33E3">
        <w:trPr>
          <w:jc w:val="center"/>
        </w:trPr>
        <w:tc>
          <w:tcPr>
            <w:tcW w:w="5100" w:type="dxa"/>
          </w:tcPr>
          <w:p w14:paraId="569A97DF" w14:textId="77777777" w:rsidR="007D7CC9" w:rsidRPr="009E5F8A" w:rsidRDefault="007D7CC9" w:rsidP="00BB33E3">
            <w:pPr>
              <w:rPr>
                <w:rFonts w:ascii="Aptos" w:hAnsi="Aptos"/>
                <w:lang w:val="fr-FR"/>
              </w:rPr>
            </w:pPr>
            <w:r w:rsidRPr="009E5F8A">
              <w:rPr>
                <w:rFonts w:ascii="Aptos" w:hAnsi="Aptos"/>
                <w:sz w:val="18"/>
                <w:lang w:val="fr-FR"/>
              </w:rPr>
              <w:t>Défense &amp; autres</w:t>
            </w:r>
          </w:p>
        </w:tc>
        <w:tc>
          <w:tcPr>
            <w:tcW w:w="5100" w:type="dxa"/>
          </w:tcPr>
          <w:p w14:paraId="03C1203B" w14:textId="77777777" w:rsidR="007D7CC9" w:rsidRPr="009E5F8A" w:rsidRDefault="007D7CC9" w:rsidP="00BB33E3">
            <w:pPr>
              <w:rPr>
                <w:rFonts w:ascii="Aptos" w:hAnsi="Aptos"/>
                <w:lang w:val="fr-FR"/>
              </w:rPr>
            </w:pPr>
            <w:r w:rsidRPr="009E5F8A">
              <w:rPr>
                <w:rFonts w:ascii="Aptos" w:hAnsi="Aptos"/>
                <w:sz w:val="18"/>
                <w:lang w:val="fr-FR"/>
              </w:rPr>
              <w:t>1,2 – 1,8</w:t>
            </w:r>
          </w:p>
        </w:tc>
      </w:tr>
      <w:tr w:rsidR="007D7CC9" w:rsidRPr="009E5F8A" w14:paraId="5E343A85" w14:textId="77777777" w:rsidTr="00BB33E3">
        <w:trPr>
          <w:jc w:val="center"/>
        </w:trPr>
        <w:tc>
          <w:tcPr>
            <w:tcW w:w="5100" w:type="dxa"/>
          </w:tcPr>
          <w:p w14:paraId="0A00927F" w14:textId="77777777" w:rsidR="007D7CC9" w:rsidRPr="009E5F8A" w:rsidRDefault="007D7CC9" w:rsidP="00BB33E3">
            <w:pPr>
              <w:rPr>
                <w:rFonts w:ascii="Aptos" w:hAnsi="Aptos"/>
                <w:lang w:val="fr-FR"/>
              </w:rPr>
            </w:pPr>
            <w:r w:rsidRPr="009E5F8A">
              <w:rPr>
                <w:rFonts w:ascii="Aptos" w:hAnsi="Aptos"/>
                <w:sz w:val="18"/>
                <w:lang w:val="fr-FR"/>
              </w:rPr>
              <w:t>Total national (part Agglomération)</w:t>
            </w:r>
          </w:p>
        </w:tc>
        <w:tc>
          <w:tcPr>
            <w:tcW w:w="5100" w:type="dxa"/>
          </w:tcPr>
          <w:p w14:paraId="5300BBDF" w14:textId="77777777" w:rsidR="007D7CC9" w:rsidRPr="009E5F8A" w:rsidRDefault="007D7CC9" w:rsidP="00BB33E3">
            <w:pPr>
              <w:rPr>
                <w:rFonts w:ascii="Aptos" w:hAnsi="Aptos"/>
                <w:lang w:val="fr-FR"/>
              </w:rPr>
            </w:pPr>
            <w:r w:rsidRPr="009E5F8A">
              <w:rPr>
                <w:rFonts w:ascii="Aptos" w:hAnsi="Aptos"/>
                <w:sz w:val="18"/>
                <w:lang w:val="fr-FR"/>
              </w:rPr>
              <w:t>≈ 10 – 14</w:t>
            </w:r>
          </w:p>
        </w:tc>
      </w:tr>
    </w:tbl>
    <w:p w14:paraId="14B5D85C" w14:textId="77777777" w:rsidR="007D7CC9" w:rsidRPr="009E5F8A" w:rsidRDefault="007D7CC9" w:rsidP="007D7CC9">
      <w:pPr>
        <w:spacing w:before="60" w:after="160"/>
        <w:jc w:val="center"/>
        <w:rPr>
          <w:rFonts w:ascii="Aptos" w:hAnsi="Aptos"/>
          <w:lang w:val="fr-FR"/>
        </w:rPr>
      </w:pPr>
      <w:r w:rsidRPr="009E5F8A">
        <w:rPr>
          <w:rFonts w:ascii="Aptos" w:hAnsi="Aptos"/>
          <w:b/>
          <w:i/>
          <w:color w:val="464646"/>
          <w:sz w:val="18"/>
          <w:lang w:val="fr-FR"/>
        </w:rPr>
        <w:t>Fig. 3 – Part des budgets publics nationaux attribuable à Jakarta Agglomération (≈ 41,9 M)</w:t>
      </w:r>
    </w:p>
    <w:p w14:paraId="1F3A054F" w14:textId="77777777" w:rsidR="007D7CC9" w:rsidRPr="009E5F8A" w:rsidRDefault="007D7CC9" w:rsidP="007D7CC9">
      <w:pPr>
        <w:pStyle w:val="Heading3"/>
        <w:rPr>
          <w:rFonts w:ascii="Aptos" w:hAnsi="Aptos"/>
          <w:lang w:val="fr-FR"/>
        </w:rPr>
      </w:pPr>
      <w:bookmarkStart w:id="122" w:name="_Toc236489336"/>
      <w:bookmarkStart w:id="123" w:name="_Toc236489415"/>
      <w:r w:rsidRPr="009E5F8A">
        <w:rPr>
          <w:rFonts w:ascii="Aptos" w:hAnsi="Aptos"/>
          <w:color w:val="1F4E79"/>
          <w:sz w:val="26"/>
          <w:lang w:val="fr-FR"/>
        </w:rPr>
        <w:t>5. Chapitre 3 – Dépenses privées des ménages (échelle Agglomération)</w:t>
      </w:r>
      <w:bookmarkEnd w:id="122"/>
      <w:bookmarkEnd w:id="123"/>
    </w:p>
    <w:tbl>
      <w:tblPr>
        <w:tblStyle w:val="TableGrid"/>
        <w:tblW w:w="0" w:type="auto"/>
        <w:jc w:val="center"/>
        <w:tblLook w:val="04A0" w:firstRow="1" w:lastRow="0" w:firstColumn="1" w:lastColumn="0" w:noHBand="0" w:noVBand="1"/>
      </w:tblPr>
      <w:tblGrid>
        <w:gridCol w:w="5095"/>
        <w:gridCol w:w="5095"/>
      </w:tblGrid>
      <w:tr w:rsidR="007D7CC9" w:rsidRPr="009E5F8A" w14:paraId="2D7D5080" w14:textId="77777777" w:rsidTr="00BB33E3">
        <w:trPr>
          <w:jc w:val="center"/>
        </w:trPr>
        <w:tc>
          <w:tcPr>
            <w:tcW w:w="5100" w:type="dxa"/>
          </w:tcPr>
          <w:p w14:paraId="0FEA70E8" w14:textId="77777777" w:rsidR="007D7CC9" w:rsidRPr="009E5F8A" w:rsidRDefault="007D7CC9" w:rsidP="00BB33E3">
            <w:pPr>
              <w:rPr>
                <w:rFonts w:ascii="Aptos" w:hAnsi="Aptos"/>
                <w:lang w:val="fr-FR"/>
              </w:rPr>
            </w:pPr>
            <w:r w:rsidRPr="009E5F8A">
              <w:rPr>
                <w:rFonts w:ascii="Aptos" w:hAnsi="Aptos"/>
                <w:b/>
                <w:sz w:val="18"/>
                <w:lang w:val="fr-FR"/>
              </w:rPr>
              <w:t>Catégorie</w:t>
            </w:r>
          </w:p>
        </w:tc>
        <w:tc>
          <w:tcPr>
            <w:tcW w:w="5100" w:type="dxa"/>
          </w:tcPr>
          <w:p w14:paraId="2FFA3984" w14:textId="77777777" w:rsidR="007D7CC9" w:rsidRPr="009E5F8A" w:rsidRDefault="007D7CC9" w:rsidP="00BB33E3">
            <w:pPr>
              <w:rPr>
                <w:rFonts w:ascii="Aptos" w:hAnsi="Aptos"/>
                <w:lang w:val="fr-FR"/>
              </w:rPr>
            </w:pPr>
            <w:r w:rsidRPr="009E5F8A">
              <w:rPr>
                <w:rFonts w:ascii="Aptos" w:hAnsi="Aptos"/>
                <w:b/>
                <w:sz w:val="18"/>
                <w:lang w:val="fr-FR"/>
              </w:rPr>
              <w:t>Montant approximatif (€)</w:t>
            </w:r>
          </w:p>
        </w:tc>
      </w:tr>
      <w:tr w:rsidR="007D7CC9" w:rsidRPr="009E5F8A" w14:paraId="1DB53489" w14:textId="77777777" w:rsidTr="00BB33E3">
        <w:trPr>
          <w:jc w:val="center"/>
        </w:trPr>
        <w:tc>
          <w:tcPr>
            <w:tcW w:w="5100" w:type="dxa"/>
          </w:tcPr>
          <w:p w14:paraId="3B860648" w14:textId="77777777" w:rsidR="007D7CC9" w:rsidRPr="009E5F8A" w:rsidRDefault="007D7CC9" w:rsidP="00BB33E3">
            <w:pPr>
              <w:rPr>
                <w:rFonts w:ascii="Aptos" w:hAnsi="Aptos"/>
                <w:lang w:val="fr-FR"/>
              </w:rPr>
            </w:pPr>
            <w:r w:rsidRPr="009E5F8A">
              <w:rPr>
                <w:rFonts w:ascii="Aptos" w:hAnsi="Aptos"/>
                <w:sz w:val="18"/>
                <w:lang w:val="fr-FR"/>
              </w:rPr>
              <w:t>Logement (hors énergie)</w:t>
            </w:r>
          </w:p>
        </w:tc>
        <w:tc>
          <w:tcPr>
            <w:tcW w:w="5100" w:type="dxa"/>
          </w:tcPr>
          <w:p w14:paraId="1FABD272" w14:textId="77777777" w:rsidR="007D7CC9" w:rsidRPr="009E5F8A" w:rsidRDefault="007D7CC9" w:rsidP="00BB33E3">
            <w:pPr>
              <w:rPr>
                <w:rFonts w:ascii="Aptos" w:hAnsi="Aptos"/>
                <w:lang w:val="fr-FR"/>
              </w:rPr>
            </w:pPr>
            <w:r w:rsidRPr="009E5F8A">
              <w:rPr>
                <w:rFonts w:ascii="Aptos" w:hAnsi="Aptos"/>
                <w:sz w:val="18"/>
                <w:lang w:val="fr-FR"/>
              </w:rPr>
              <w:t>7,0 – 9,5</w:t>
            </w:r>
          </w:p>
        </w:tc>
      </w:tr>
      <w:tr w:rsidR="007D7CC9" w:rsidRPr="009E5F8A" w14:paraId="6C3D6518" w14:textId="77777777" w:rsidTr="00BB33E3">
        <w:trPr>
          <w:jc w:val="center"/>
        </w:trPr>
        <w:tc>
          <w:tcPr>
            <w:tcW w:w="5100" w:type="dxa"/>
          </w:tcPr>
          <w:p w14:paraId="4BAD2C6F" w14:textId="77777777" w:rsidR="007D7CC9" w:rsidRPr="009E5F8A" w:rsidRDefault="007D7CC9" w:rsidP="00BB33E3">
            <w:pPr>
              <w:rPr>
                <w:rFonts w:ascii="Aptos" w:hAnsi="Aptos"/>
                <w:lang w:val="fr-FR"/>
              </w:rPr>
            </w:pPr>
            <w:r w:rsidRPr="009E5F8A">
              <w:rPr>
                <w:rFonts w:ascii="Aptos" w:hAnsi="Aptos"/>
                <w:sz w:val="18"/>
                <w:lang w:val="fr-FR"/>
              </w:rPr>
              <w:t>Nourriture</w:t>
            </w:r>
          </w:p>
        </w:tc>
        <w:tc>
          <w:tcPr>
            <w:tcW w:w="5100" w:type="dxa"/>
          </w:tcPr>
          <w:p w14:paraId="4D8E6ECC" w14:textId="77777777" w:rsidR="007D7CC9" w:rsidRPr="009E5F8A" w:rsidRDefault="007D7CC9" w:rsidP="00BB33E3">
            <w:pPr>
              <w:rPr>
                <w:rFonts w:ascii="Aptos" w:hAnsi="Aptos"/>
                <w:lang w:val="fr-FR"/>
              </w:rPr>
            </w:pPr>
            <w:r w:rsidRPr="009E5F8A">
              <w:rPr>
                <w:rFonts w:ascii="Aptos" w:hAnsi="Aptos"/>
                <w:sz w:val="18"/>
                <w:lang w:val="fr-FR"/>
              </w:rPr>
              <w:t>4,0 – 5,5</w:t>
            </w:r>
          </w:p>
        </w:tc>
      </w:tr>
      <w:tr w:rsidR="007D7CC9" w:rsidRPr="009E5F8A" w14:paraId="11B425DE" w14:textId="77777777" w:rsidTr="00BB33E3">
        <w:trPr>
          <w:jc w:val="center"/>
        </w:trPr>
        <w:tc>
          <w:tcPr>
            <w:tcW w:w="5100" w:type="dxa"/>
          </w:tcPr>
          <w:p w14:paraId="0A5C3385" w14:textId="77777777" w:rsidR="007D7CC9" w:rsidRPr="009E5F8A" w:rsidRDefault="007D7CC9" w:rsidP="00BB33E3">
            <w:pPr>
              <w:rPr>
                <w:rFonts w:ascii="Aptos" w:hAnsi="Aptos"/>
                <w:lang w:val="fr-FR"/>
              </w:rPr>
            </w:pPr>
            <w:r w:rsidRPr="009E5F8A">
              <w:rPr>
                <w:rFonts w:ascii="Aptos" w:hAnsi="Aptos"/>
                <w:sz w:val="18"/>
                <w:lang w:val="fr-FR"/>
              </w:rPr>
              <w:t>Énergie fossile (carburants + gaz)</w:t>
            </w:r>
          </w:p>
        </w:tc>
        <w:tc>
          <w:tcPr>
            <w:tcW w:w="5100" w:type="dxa"/>
          </w:tcPr>
          <w:p w14:paraId="0E313B14" w14:textId="77777777" w:rsidR="007D7CC9" w:rsidRPr="009E5F8A" w:rsidRDefault="007D7CC9" w:rsidP="00BB33E3">
            <w:pPr>
              <w:rPr>
                <w:rFonts w:ascii="Aptos" w:hAnsi="Aptos"/>
                <w:lang w:val="fr-FR"/>
              </w:rPr>
            </w:pPr>
            <w:r w:rsidRPr="009E5F8A">
              <w:rPr>
                <w:rFonts w:ascii="Aptos" w:hAnsi="Aptos"/>
                <w:sz w:val="18"/>
                <w:lang w:val="fr-FR"/>
              </w:rPr>
              <w:t>2,0 – 3,0</w:t>
            </w:r>
          </w:p>
        </w:tc>
      </w:tr>
      <w:tr w:rsidR="007D7CC9" w:rsidRPr="009E5F8A" w14:paraId="560D8F76" w14:textId="77777777" w:rsidTr="00BB33E3">
        <w:trPr>
          <w:jc w:val="center"/>
        </w:trPr>
        <w:tc>
          <w:tcPr>
            <w:tcW w:w="5100" w:type="dxa"/>
          </w:tcPr>
          <w:p w14:paraId="471D6095" w14:textId="77777777" w:rsidR="007D7CC9" w:rsidRPr="009E5F8A" w:rsidRDefault="007D7CC9" w:rsidP="00BB33E3">
            <w:pPr>
              <w:rPr>
                <w:rFonts w:ascii="Aptos" w:hAnsi="Aptos"/>
                <w:lang w:val="fr-FR"/>
              </w:rPr>
            </w:pPr>
            <w:r w:rsidRPr="009E5F8A">
              <w:rPr>
                <w:rFonts w:ascii="Aptos" w:hAnsi="Aptos"/>
                <w:sz w:val="18"/>
                <w:lang w:val="fr-FR"/>
              </w:rPr>
              <w:t>Transport (hors carburant)</w:t>
            </w:r>
          </w:p>
        </w:tc>
        <w:tc>
          <w:tcPr>
            <w:tcW w:w="5100" w:type="dxa"/>
          </w:tcPr>
          <w:p w14:paraId="4D0F110A" w14:textId="77777777" w:rsidR="007D7CC9" w:rsidRPr="009E5F8A" w:rsidRDefault="007D7CC9" w:rsidP="00BB33E3">
            <w:pPr>
              <w:rPr>
                <w:rFonts w:ascii="Aptos" w:hAnsi="Aptos"/>
                <w:lang w:val="fr-FR"/>
              </w:rPr>
            </w:pPr>
            <w:r w:rsidRPr="009E5F8A">
              <w:rPr>
                <w:rFonts w:ascii="Aptos" w:hAnsi="Aptos"/>
                <w:sz w:val="18"/>
                <w:lang w:val="fr-FR"/>
              </w:rPr>
              <w:t>1,8 – 2,5</w:t>
            </w:r>
          </w:p>
        </w:tc>
      </w:tr>
      <w:tr w:rsidR="007D7CC9" w:rsidRPr="009E5F8A" w14:paraId="22FFFC4C" w14:textId="77777777" w:rsidTr="00BB33E3">
        <w:trPr>
          <w:jc w:val="center"/>
        </w:trPr>
        <w:tc>
          <w:tcPr>
            <w:tcW w:w="5100" w:type="dxa"/>
          </w:tcPr>
          <w:p w14:paraId="6145921C" w14:textId="77777777" w:rsidR="007D7CC9" w:rsidRPr="009E5F8A" w:rsidRDefault="007D7CC9" w:rsidP="00BB33E3">
            <w:pPr>
              <w:rPr>
                <w:rFonts w:ascii="Aptos" w:hAnsi="Aptos"/>
                <w:lang w:val="fr-FR"/>
              </w:rPr>
            </w:pPr>
            <w:r w:rsidRPr="009E5F8A">
              <w:rPr>
                <w:rFonts w:ascii="Aptos" w:hAnsi="Aptos"/>
                <w:sz w:val="18"/>
                <w:lang w:val="fr-FR"/>
              </w:rPr>
              <w:t>Communication, vêtements, divers</w:t>
            </w:r>
          </w:p>
        </w:tc>
        <w:tc>
          <w:tcPr>
            <w:tcW w:w="5100" w:type="dxa"/>
          </w:tcPr>
          <w:p w14:paraId="450319C2" w14:textId="77777777" w:rsidR="007D7CC9" w:rsidRPr="009E5F8A" w:rsidRDefault="007D7CC9" w:rsidP="00BB33E3">
            <w:pPr>
              <w:rPr>
                <w:rFonts w:ascii="Aptos" w:hAnsi="Aptos"/>
                <w:lang w:val="fr-FR"/>
              </w:rPr>
            </w:pPr>
            <w:r w:rsidRPr="009E5F8A">
              <w:rPr>
                <w:rFonts w:ascii="Aptos" w:hAnsi="Aptos"/>
                <w:sz w:val="18"/>
                <w:lang w:val="fr-FR"/>
              </w:rPr>
              <w:t>1,5 – 2,2</w:t>
            </w:r>
          </w:p>
        </w:tc>
      </w:tr>
      <w:tr w:rsidR="007D7CC9" w:rsidRPr="009E5F8A" w14:paraId="0AFE8C9A" w14:textId="77777777" w:rsidTr="00BB33E3">
        <w:trPr>
          <w:jc w:val="center"/>
        </w:trPr>
        <w:tc>
          <w:tcPr>
            <w:tcW w:w="5100" w:type="dxa"/>
          </w:tcPr>
          <w:p w14:paraId="517EBAC3" w14:textId="77777777" w:rsidR="007D7CC9" w:rsidRPr="009E5F8A" w:rsidRDefault="007D7CC9" w:rsidP="00BB33E3">
            <w:pPr>
              <w:rPr>
                <w:rFonts w:ascii="Aptos" w:hAnsi="Aptos"/>
                <w:lang w:val="fr-FR"/>
              </w:rPr>
            </w:pPr>
            <w:r w:rsidRPr="009E5F8A">
              <w:rPr>
                <w:rFonts w:ascii="Aptos" w:hAnsi="Aptos"/>
                <w:sz w:val="18"/>
                <w:lang w:val="fr-FR"/>
              </w:rPr>
              <w:t>Loisirs &amp; culture</w:t>
            </w:r>
          </w:p>
        </w:tc>
        <w:tc>
          <w:tcPr>
            <w:tcW w:w="5100" w:type="dxa"/>
          </w:tcPr>
          <w:p w14:paraId="05CFABCD" w14:textId="77777777" w:rsidR="007D7CC9" w:rsidRPr="009E5F8A" w:rsidRDefault="007D7CC9" w:rsidP="00BB33E3">
            <w:pPr>
              <w:rPr>
                <w:rFonts w:ascii="Aptos" w:hAnsi="Aptos"/>
                <w:lang w:val="fr-FR"/>
              </w:rPr>
            </w:pPr>
            <w:r w:rsidRPr="009E5F8A">
              <w:rPr>
                <w:rFonts w:ascii="Aptos" w:hAnsi="Aptos"/>
                <w:sz w:val="18"/>
                <w:lang w:val="fr-FR"/>
              </w:rPr>
              <w:t>1,2 – 1,8</w:t>
            </w:r>
          </w:p>
        </w:tc>
      </w:tr>
      <w:tr w:rsidR="007D7CC9" w:rsidRPr="009E5F8A" w14:paraId="1C8BAECF" w14:textId="77777777" w:rsidTr="00BB33E3">
        <w:trPr>
          <w:jc w:val="center"/>
        </w:trPr>
        <w:tc>
          <w:tcPr>
            <w:tcW w:w="5100" w:type="dxa"/>
          </w:tcPr>
          <w:p w14:paraId="62649B1A" w14:textId="77777777" w:rsidR="007D7CC9" w:rsidRPr="009E5F8A" w:rsidRDefault="007D7CC9" w:rsidP="00BB33E3">
            <w:pPr>
              <w:rPr>
                <w:rFonts w:ascii="Aptos" w:hAnsi="Aptos"/>
                <w:lang w:val="fr-FR"/>
              </w:rPr>
            </w:pPr>
            <w:r w:rsidRPr="009E5F8A">
              <w:rPr>
                <w:rFonts w:ascii="Aptos" w:hAnsi="Aptos"/>
                <w:sz w:val="18"/>
                <w:lang w:val="fr-FR"/>
              </w:rPr>
              <w:t>Électricité (y compris climatisation)</w:t>
            </w:r>
          </w:p>
        </w:tc>
        <w:tc>
          <w:tcPr>
            <w:tcW w:w="5100" w:type="dxa"/>
          </w:tcPr>
          <w:p w14:paraId="489F2643" w14:textId="77777777" w:rsidR="007D7CC9" w:rsidRPr="009E5F8A" w:rsidRDefault="007D7CC9" w:rsidP="00BB33E3">
            <w:pPr>
              <w:rPr>
                <w:rFonts w:ascii="Aptos" w:hAnsi="Aptos"/>
                <w:lang w:val="fr-FR"/>
              </w:rPr>
            </w:pPr>
            <w:r w:rsidRPr="009E5F8A">
              <w:rPr>
                <w:rFonts w:ascii="Aptos" w:hAnsi="Aptos"/>
                <w:sz w:val="18"/>
                <w:lang w:val="fr-FR"/>
              </w:rPr>
              <w:t>1,0 – 1,6</w:t>
            </w:r>
          </w:p>
        </w:tc>
      </w:tr>
      <w:tr w:rsidR="007D7CC9" w:rsidRPr="009E5F8A" w14:paraId="779B8D5F" w14:textId="77777777" w:rsidTr="00BB33E3">
        <w:trPr>
          <w:jc w:val="center"/>
        </w:trPr>
        <w:tc>
          <w:tcPr>
            <w:tcW w:w="5100" w:type="dxa"/>
          </w:tcPr>
          <w:p w14:paraId="35BE0634" w14:textId="77777777" w:rsidR="007D7CC9" w:rsidRPr="009E5F8A" w:rsidRDefault="007D7CC9" w:rsidP="00BB33E3">
            <w:pPr>
              <w:rPr>
                <w:rFonts w:ascii="Aptos" w:hAnsi="Aptos"/>
                <w:lang w:val="fr-FR"/>
              </w:rPr>
            </w:pPr>
            <w:r w:rsidRPr="009E5F8A">
              <w:rPr>
                <w:rFonts w:ascii="Aptos" w:hAnsi="Aptos"/>
                <w:sz w:val="18"/>
                <w:lang w:val="fr-FR"/>
              </w:rPr>
              <w:t>Santé privée + assurances</w:t>
            </w:r>
          </w:p>
        </w:tc>
        <w:tc>
          <w:tcPr>
            <w:tcW w:w="5100" w:type="dxa"/>
          </w:tcPr>
          <w:p w14:paraId="5600CBE9" w14:textId="77777777" w:rsidR="007D7CC9" w:rsidRPr="009E5F8A" w:rsidRDefault="007D7CC9" w:rsidP="00BB33E3">
            <w:pPr>
              <w:rPr>
                <w:rFonts w:ascii="Aptos" w:hAnsi="Aptos"/>
                <w:lang w:val="fr-FR"/>
              </w:rPr>
            </w:pPr>
            <w:r w:rsidRPr="009E5F8A">
              <w:rPr>
                <w:rFonts w:ascii="Aptos" w:hAnsi="Aptos"/>
                <w:sz w:val="18"/>
                <w:lang w:val="fr-FR"/>
              </w:rPr>
              <w:t>0,7 – 1,2</w:t>
            </w:r>
          </w:p>
        </w:tc>
      </w:tr>
      <w:tr w:rsidR="007D7CC9" w:rsidRPr="009E5F8A" w14:paraId="0D7D07CA" w14:textId="77777777" w:rsidTr="00BB33E3">
        <w:trPr>
          <w:jc w:val="center"/>
        </w:trPr>
        <w:tc>
          <w:tcPr>
            <w:tcW w:w="5100" w:type="dxa"/>
          </w:tcPr>
          <w:p w14:paraId="258B6CA6" w14:textId="77777777" w:rsidR="007D7CC9" w:rsidRPr="009E5F8A" w:rsidRDefault="007D7CC9" w:rsidP="00BB33E3">
            <w:pPr>
              <w:rPr>
                <w:rFonts w:ascii="Aptos" w:hAnsi="Aptos"/>
                <w:lang w:val="fr-FR"/>
              </w:rPr>
            </w:pPr>
            <w:r w:rsidRPr="009E5F8A">
              <w:rPr>
                <w:rFonts w:ascii="Aptos" w:hAnsi="Aptos"/>
                <w:sz w:val="18"/>
                <w:lang w:val="fr-FR"/>
              </w:rPr>
              <w:t>Total privé (ordre de grandeur)</w:t>
            </w:r>
          </w:p>
        </w:tc>
        <w:tc>
          <w:tcPr>
            <w:tcW w:w="5100" w:type="dxa"/>
          </w:tcPr>
          <w:p w14:paraId="70D3EECC" w14:textId="77777777" w:rsidR="007D7CC9" w:rsidRPr="009E5F8A" w:rsidRDefault="007D7CC9" w:rsidP="00BB33E3">
            <w:pPr>
              <w:rPr>
                <w:rFonts w:ascii="Aptos" w:hAnsi="Aptos"/>
                <w:lang w:val="fr-FR"/>
              </w:rPr>
            </w:pPr>
            <w:r w:rsidRPr="009E5F8A">
              <w:rPr>
                <w:rFonts w:ascii="Aptos" w:hAnsi="Aptos"/>
                <w:sz w:val="18"/>
                <w:lang w:val="fr-FR"/>
              </w:rPr>
              <w:t>≈ 19 – 27</w:t>
            </w:r>
          </w:p>
        </w:tc>
      </w:tr>
    </w:tbl>
    <w:p w14:paraId="10A097A5" w14:textId="77777777" w:rsidR="007D7CC9" w:rsidRPr="009E5F8A" w:rsidRDefault="007D7CC9" w:rsidP="007D7CC9">
      <w:pPr>
        <w:spacing w:before="60" w:after="160"/>
        <w:jc w:val="center"/>
        <w:rPr>
          <w:rFonts w:ascii="Aptos" w:hAnsi="Aptos"/>
          <w:lang w:val="fr-FR"/>
        </w:rPr>
      </w:pPr>
      <w:r w:rsidRPr="009E5F8A">
        <w:rPr>
          <w:rFonts w:ascii="Aptos" w:hAnsi="Aptos"/>
          <w:b/>
          <w:i/>
          <w:color w:val="464646"/>
          <w:sz w:val="18"/>
          <w:lang w:val="fr-FR"/>
        </w:rPr>
        <w:t>Fig. 4 – Dépenses privées des ménages – échelle Jakarta Agglomération</w:t>
      </w:r>
    </w:p>
    <w:p w14:paraId="7BE63E73" w14:textId="77777777" w:rsidR="007D7CC9" w:rsidRPr="009E5F8A" w:rsidRDefault="007D7CC9" w:rsidP="007D7CC9">
      <w:pPr>
        <w:pStyle w:val="Heading3"/>
        <w:rPr>
          <w:rFonts w:ascii="Aptos" w:hAnsi="Aptos"/>
          <w:lang w:val="fr-FR"/>
        </w:rPr>
      </w:pPr>
      <w:bookmarkStart w:id="124" w:name="_Toc236489337"/>
      <w:bookmarkStart w:id="125" w:name="_Toc236489416"/>
      <w:r w:rsidRPr="009E5F8A">
        <w:rPr>
          <w:rFonts w:ascii="Aptos" w:hAnsi="Aptos"/>
          <w:color w:val="1F4E79"/>
          <w:sz w:val="26"/>
          <w:lang w:val="fr-FR"/>
        </w:rPr>
        <w:t>6. Synthèse des trois composantes – Base Jakarta Agglomération (≈ 41,9 M)</w:t>
      </w:r>
      <w:bookmarkEnd w:id="124"/>
      <w:bookmarkEnd w:id="125"/>
    </w:p>
    <w:tbl>
      <w:tblPr>
        <w:tblStyle w:val="TableGrid"/>
        <w:tblW w:w="0" w:type="auto"/>
        <w:jc w:val="center"/>
        <w:tblLook w:val="04A0" w:firstRow="1" w:lastRow="0" w:firstColumn="1" w:lastColumn="0" w:noHBand="0" w:noVBand="1"/>
      </w:tblPr>
      <w:tblGrid>
        <w:gridCol w:w="5095"/>
        <w:gridCol w:w="5095"/>
      </w:tblGrid>
      <w:tr w:rsidR="007D7CC9" w:rsidRPr="009E5F8A" w14:paraId="27CE7298" w14:textId="77777777" w:rsidTr="00BB33E3">
        <w:trPr>
          <w:jc w:val="center"/>
        </w:trPr>
        <w:tc>
          <w:tcPr>
            <w:tcW w:w="5100" w:type="dxa"/>
          </w:tcPr>
          <w:p w14:paraId="4AF6B3BE" w14:textId="77777777" w:rsidR="007D7CC9" w:rsidRPr="009E5F8A" w:rsidRDefault="007D7CC9" w:rsidP="00BB33E3">
            <w:pPr>
              <w:rPr>
                <w:rFonts w:ascii="Aptos" w:hAnsi="Aptos"/>
                <w:lang w:val="fr-FR"/>
              </w:rPr>
            </w:pPr>
            <w:r w:rsidRPr="009E5F8A">
              <w:rPr>
                <w:rFonts w:ascii="Aptos" w:hAnsi="Aptos"/>
                <w:b/>
                <w:sz w:val="18"/>
                <w:lang w:val="fr-FR"/>
              </w:rPr>
              <w:t>Composante</w:t>
            </w:r>
          </w:p>
        </w:tc>
        <w:tc>
          <w:tcPr>
            <w:tcW w:w="5100" w:type="dxa"/>
          </w:tcPr>
          <w:p w14:paraId="755A6480" w14:textId="77777777" w:rsidR="007D7CC9" w:rsidRPr="009E5F8A" w:rsidRDefault="007D7CC9" w:rsidP="00BB33E3">
            <w:pPr>
              <w:rPr>
                <w:rFonts w:ascii="Aptos" w:hAnsi="Aptos"/>
                <w:lang w:val="fr-FR"/>
              </w:rPr>
            </w:pPr>
            <w:r w:rsidRPr="009E5F8A">
              <w:rPr>
                <w:rFonts w:ascii="Aptos" w:hAnsi="Aptos"/>
                <w:b/>
                <w:sz w:val="18"/>
                <w:lang w:val="fr-FR"/>
              </w:rPr>
              <w:t>Montant relatif</w:t>
            </w:r>
          </w:p>
        </w:tc>
      </w:tr>
      <w:tr w:rsidR="007D7CC9" w:rsidRPr="009E5F8A" w14:paraId="58970D85" w14:textId="77777777" w:rsidTr="00BB33E3">
        <w:trPr>
          <w:jc w:val="center"/>
        </w:trPr>
        <w:tc>
          <w:tcPr>
            <w:tcW w:w="5100" w:type="dxa"/>
          </w:tcPr>
          <w:p w14:paraId="360F00DE" w14:textId="77777777" w:rsidR="007D7CC9" w:rsidRPr="009E5F8A" w:rsidRDefault="007D7CC9" w:rsidP="00BB33E3">
            <w:pPr>
              <w:rPr>
                <w:rFonts w:ascii="Aptos" w:hAnsi="Aptos"/>
                <w:lang w:val="fr-FR"/>
              </w:rPr>
            </w:pPr>
            <w:r w:rsidRPr="009E5F8A">
              <w:rPr>
                <w:rFonts w:ascii="Aptos" w:hAnsi="Aptos"/>
                <w:sz w:val="18"/>
                <w:lang w:val="fr-FR"/>
              </w:rPr>
              <w:t>1. Impôts locaux (Pajak Daerah DKI)</w:t>
            </w:r>
          </w:p>
        </w:tc>
        <w:tc>
          <w:tcPr>
            <w:tcW w:w="5100" w:type="dxa"/>
          </w:tcPr>
          <w:p w14:paraId="78A121B5" w14:textId="77777777" w:rsidR="007D7CC9" w:rsidRPr="009E5F8A" w:rsidRDefault="007D7CC9" w:rsidP="00BB33E3">
            <w:pPr>
              <w:rPr>
                <w:rFonts w:ascii="Aptos" w:hAnsi="Aptos"/>
                <w:lang w:val="fr-FR"/>
              </w:rPr>
            </w:pPr>
            <w:r w:rsidRPr="009E5F8A">
              <w:rPr>
                <w:rFonts w:ascii="Aptos" w:hAnsi="Aptos"/>
                <w:sz w:val="18"/>
                <w:lang w:val="fr-FR"/>
              </w:rPr>
              <w:t>1,00 €</w:t>
            </w:r>
          </w:p>
        </w:tc>
      </w:tr>
      <w:tr w:rsidR="007D7CC9" w:rsidRPr="009E5F8A" w14:paraId="408D1482" w14:textId="77777777" w:rsidTr="00BB33E3">
        <w:trPr>
          <w:jc w:val="center"/>
        </w:trPr>
        <w:tc>
          <w:tcPr>
            <w:tcW w:w="5100" w:type="dxa"/>
          </w:tcPr>
          <w:p w14:paraId="35EE8F65" w14:textId="77777777" w:rsidR="007D7CC9" w:rsidRPr="009E5F8A" w:rsidRDefault="007D7CC9" w:rsidP="00BB33E3">
            <w:pPr>
              <w:rPr>
                <w:rFonts w:ascii="Aptos" w:hAnsi="Aptos"/>
                <w:lang w:val="fr-FR"/>
              </w:rPr>
            </w:pPr>
            <w:r w:rsidRPr="009E5F8A">
              <w:rPr>
                <w:rFonts w:ascii="Aptos" w:hAnsi="Aptos"/>
                <w:sz w:val="18"/>
                <w:lang w:val="fr-FR"/>
              </w:rPr>
              <w:t>2. Budgets publics nationaux (part Agglomération)</w:t>
            </w:r>
          </w:p>
        </w:tc>
        <w:tc>
          <w:tcPr>
            <w:tcW w:w="5100" w:type="dxa"/>
          </w:tcPr>
          <w:p w14:paraId="1BFFD4A2" w14:textId="77777777" w:rsidR="007D7CC9" w:rsidRPr="009E5F8A" w:rsidRDefault="007D7CC9" w:rsidP="00BB33E3">
            <w:pPr>
              <w:rPr>
                <w:rFonts w:ascii="Aptos" w:hAnsi="Aptos"/>
                <w:lang w:val="fr-FR"/>
              </w:rPr>
            </w:pPr>
            <w:r w:rsidRPr="009E5F8A">
              <w:rPr>
                <w:rFonts w:ascii="Aptos" w:hAnsi="Aptos"/>
                <w:sz w:val="18"/>
                <w:lang w:val="fr-FR"/>
              </w:rPr>
              <w:t>≈ 10 – 14 €</w:t>
            </w:r>
          </w:p>
        </w:tc>
      </w:tr>
      <w:tr w:rsidR="007D7CC9" w:rsidRPr="009E5F8A" w14:paraId="1F188F56" w14:textId="77777777" w:rsidTr="00BB33E3">
        <w:trPr>
          <w:jc w:val="center"/>
        </w:trPr>
        <w:tc>
          <w:tcPr>
            <w:tcW w:w="5100" w:type="dxa"/>
          </w:tcPr>
          <w:p w14:paraId="7F5887E7" w14:textId="77777777" w:rsidR="007D7CC9" w:rsidRPr="009E5F8A" w:rsidRDefault="007D7CC9" w:rsidP="00BB33E3">
            <w:pPr>
              <w:rPr>
                <w:rFonts w:ascii="Aptos" w:hAnsi="Aptos"/>
                <w:lang w:val="fr-FR"/>
              </w:rPr>
            </w:pPr>
            <w:r w:rsidRPr="009E5F8A">
              <w:rPr>
                <w:rFonts w:ascii="Aptos" w:hAnsi="Aptos"/>
                <w:sz w:val="18"/>
                <w:lang w:val="fr-FR"/>
              </w:rPr>
              <w:t>3. Dépenses privées des ménages</w:t>
            </w:r>
          </w:p>
        </w:tc>
        <w:tc>
          <w:tcPr>
            <w:tcW w:w="5100" w:type="dxa"/>
          </w:tcPr>
          <w:p w14:paraId="0262B078" w14:textId="77777777" w:rsidR="007D7CC9" w:rsidRPr="009E5F8A" w:rsidRDefault="007D7CC9" w:rsidP="00BB33E3">
            <w:pPr>
              <w:rPr>
                <w:rFonts w:ascii="Aptos" w:hAnsi="Aptos"/>
                <w:lang w:val="fr-FR"/>
              </w:rPr>
            </w:pPr>
            <w:r w:rsidRPr="009E5F8A">
              <w:rPr>
                <w:rFonts w:ascii="Aptos" w:hAnsi="Aptos"/>
                <w:sz w:val="18"/>
                <w:lang w:val="fr-FR"/>
              </w:rPr>
              <w:t>≈ 19 – 27 €</w:t>
            </w:r>
          </w:p>
        </w:tc>
      </w:tr>
      <w:tr w:rsidR="007D7CC9" w:rsidRPr="009E5F8A" w14:paraId="709D14AA" w14:textId="77777777" w:rsidTr="00BB33E3">
        <w:trPr>
          <w:jc w:val="center"/>
        </w:trPr>
        <w:tc>
          <w:tcPr>
            <w:tcW w:w="5100" w:type="dxa"/>
          </w:tcPr>
          <w:p w14:paraId="0C3FA260" w14:textId="77777777" w:rsidR="007D7CC9" w:rsidRPr="009E5F8A" w:rsidRDefault="007D7CC9" w:rsidP="00BB33E3">
            <w:pPr>
              <w:rPr>
                <w:rFonts w:ascii="Aptos" w:hAnsi="Aptos"/>
                <w:lang w:val="fr-FR"/>
              </w:rPr>
            </w:pPr>
            <w:r w:rsidRPr="009E5F8A">
              <w:rPr>
                <w:rFonts w:ascii="Aptos" w:hAnsi="Aptos"/>
                <w:sz w:val="18"/>
                <w:lang w:val="fr-FR"/>
              </w:rPr>
              <w:t>Total emprise économique relative</w:t>
            </w:r>
          </w:p>
        </w:tc>
        <w:tc>
          <w:tcPr>
            <w:tcW w:w="5100" w:type="dxa"/>
          </w:tcPr>
          <w:p w14:paraId="0044F5F9" w14:textId="77777777" w:rsidR="007D7CC9" w:rsidRPr="009E5F8A" w:rsidRDefault="007D7CC9" w:rsidP="00BB33E3">
            <w:pPr>
              <w:rPr>
                <w:rFonts w:ascii="Aptos" w:hAnsi="Aptos"/>
                <w:lang w:val="fr-FR"/>
              </w:rPr>
            </w:pPr>
            <w:r w:rsidRPr="009E5F8A">
              <w:rPr>
                <w:rFonts w:ascii="Aptos" w:hAnsi="Aptos"/>
                <w:sz w:val="18"/>
                <w:lang w:val="fr-FR"/>
              </w:rPr>
              <w:t>≈ 30 – 42 €</w:t>
            </w:r>
          </w:p>
        </w:tc>
      </w:tr>
    </w:tbl>
    <w:p w14:paraId="552EBB57" w14:textId="77777777" w:rsidR="007D7CC9" w:rsidRPr="009E5F8A" w:rsidRDefault="007D7CC9" w:rsidP="007D7CC9">
      <w:pPr>
        <w:spacing w:before="60" w:after="160"/>
        <w:jc w:val="center"/>
        <w:rPr>
          <w:rFonts w:ascii="Aptos" w:hAnsi="Aptos"/>
          <w:lang w:val="fr-FR"/>
        </w:rPr>
      </w:pPr>
      <w:r w:rsidRPr="009E5F8A">
        <w:rPr>
          <w:rFonts w:ascii="Aptos" w:hAnsi="Aptos"/>
          <w:b/>
          <w:i/>
          <w:color w:val="464646"/>
          <w:sz w:val="18"/>
          <w:lang w:val="fr-FR"/>
        </w:rPr>
        <w:t>Fig. 5 – Synthèse des trois composantes économiques – Base Jakarta Agglomération ≈ 41,9 millions</w:t>
      </w:r>
    </w:p>
    <w:p w14:paraId="7CD5CAF3" w14:textId="77777777" w:rsidR="007D7CC9" w:rsidRPr="009E5F8A" w:rsidRDefault="007D7CC9" w:rsidP="007D7CC9">
      <w:pPr>
        <w:pStyle w:val="Heading3"/>
        <w:rPr>
          <w:rFonts w:ascii="Aptos" w:hAnsi="Aptos"/>
          <w:lang w:val="fr-FR"/>
        </w:rPr>
      </w:pPr>
      <w:bookmarkStart w:id="126" w:name="_Toc236489338"/>
      <w:bookmarkStart w:id="127" w:name="_Toc236489417"/>
      <w:r w:rsidRPr="009E5F8A">
        <w:rPr>
          <w:rFonts w:ascii="Aptos" w:hAnsi="Aptos"/>
          <w:color w:val="1F4E79"/>
          <w:sz w:val="26"/>
          <w:lang w:val="fr-FR"/>
        </w:rPr>
        <w:t>7. Lien avec l’énergie, le froid et les émissions</w:t>
      </w:r>
      <w:bookmarkEnd w:id="126"/>
      <w:bookmarkEnd w:id="127"/>
    </w:p>
    <w:p w14:paraId="30D7BE05" w14:textId="77777777" w:rsidR="007D7CC9" w:rsidRPr="009E5F8A" w:rsidRDefault="007D7CC9" w:rsidP="007D7CC9">
      <w:pPr>
        <w:spacing w:after="100"/>
        <w:rPr>
          <w:rFonts w:ascii="Aptos" w:hAnsi="Aptos"/>
          <w:lang w:val="fr-FR"/>
        </w:rPr>
      </w:pPr>
      <w:r w:rsidRPr="009E5F8A">
        <w:rPr>
          <w:rFonts w:ascii="Aptos" w:hAnsi="Aptos"/>
          <w:lang w:val="fr-FR"/>
        </w:rPr>
        <w:lastRenderedPageBreak/>
        <w:t>L’échelle de 41,9 millions d’habitants est celle qui doit être retenue pour tous les calculs d’énergie électrique, de production de froid (climatisation + froid industriel + glace) et d’émissions de carbone. Les annexes précédentes (création du froid et équivalences carbone) s’inscrivent dans cette même base d’agglomération.</w:t>
      </w:r>
    </w:p>
    <w:p w14:paraId="5FA19550" w14:textId="77777777" w:rsidR="007D7CC9" w:rsidRPr="009E5F8A" w:rsidRDefault="007D7CC9" w:rsidP="007D7CC9">
      <w:pPr>
        <w:pStyle w:val="Heading3"/>
        <w:rPr>
          <w:rFonts w:ascii="Aptos" w:hAnsi="Aptos"/>
          <w:lang w:val="fr-FR"/>
        </w:rPr>
      </w:pPr>
      <w:bookmarkStart w:id="128" w:name="_Toc236489339"/>
      <w:bookmarkStart w:id="129" w:name="_Toc236489418"/>
      <w:r w:rsidRPr="009E5F8A">
        <w:rPr>
          <w:rFonts w:ascii="Aptos" w:hAnsi="Aptos"/>
          <w:color w:val="1F4E79"/>
          <w:sz w:val="26"/>
          <w:lang w:val="fr-FR"/>
        </w:rPr>
        <w:t>8. Conclusion</w:t>
      </w:r>
      <w:bookmarkEnd w:id="128"/>
      <w:bookmarkEnd w:id="129"/>
    </w:p>
    <w:p w14:paraId="54EA138D" w14:textId="77777777" w:rsidR="007D7CC9" w:rsidRPr="009E5F8A" w:rsidRDefault="007D7CC9" w:rsidP="007D7CC9">
      <w:pPr>
        <w:spacing w:after="100"/>
        <w:rPr>
          <w:rFonts w:ascii="Aptos" w:hAnsi="Aptos"/>
          <w:lang w:val="fr-FR"/>
        </w:rPr>
      </w:pPr>
      <w:r w:rsidRPr="009E5F8A">
        <w:rPr>
          <w:rFonts w:ascii="Aptos" w:hAnsi="Aptos"/>
          <w:lang w:val="fr-FR"/>
        </w:rPr>
        <w:t>Ce document place explicitement en en-tête la base de calcul « Jakarta Agglomération – population totale ≈ 41,9 millions d’habitants ». Le 1,00 € local reste ancré sur les impôts réellement perçus par DKI, tandis que les ratios nationaux et privés sont recalibrés à l’échelle de la giga-ville. Cette structure constitue la référence actualisée pour la comparaison ultérieure avec Nusantara.</w:t>
      </w:r>
    </w:p>
    <w:p w14:paraId="32FCDADF" w14:textId="77777777" w:rsidR="007D7CC9" w:rsidRPr="009E5F8A" w:rsidRDefault="007D7CC9" w:rsidP="007D7CC9">
      <w:pPr>
        <w:rPr>
          <w:rFonts w:ascii="Aptos" w:hAnsi="Aptos"/>
          <w:lang w:val="fr-FR"/>
        </w:rPr>
        <w:sectPr w:rsidR="007D7CC9" w:rsidRPr="009E5F8A" w:rsidSect="007D7CC9">
          <w:headerReference w:type="default" r:id="rId20"/>
          <w:pgSz w:w="12240" w:h="15840"/>
          <w:pgMar w:top="907" w:right="1020" w:bottom="907" w:left="1020" w:header="347" w:footer="720" w:gutter="0"/>
          <w:cols w:space="720"/>
          <w:docGrid w:linePitch="360"/>
        </w:sectPr>
      </w:pPr>
    </w:p>
    <w:p w14:paraId="29655DE7" w14:textId="77777777" w:rsidR="007D7CC9" w:rsidRPr="009E5F8A" w:rsidRDefault="007D7CC9" w:rsidP="007D7CC9">
      <w:pPr>
        <w:pStyle w:val="Heading3"/>
        <w:rPr>
          <w:rFonts w:ascii="Aptos" w:hAnsi="Aptos"/>
          <w:lang w:val="fr-FR"/>
        </w:rPr>
      </w:pPr>
      <w:bookmarkStart w:id="130" w:name="_Toc236489340"/>
      <w:bookmarkStart w:id="131" w:name="_Toc236489419"/>
      <w:r w:rsidRPr="009E5F8A">
        <w:rPr>
          <w:rFonts w:ascii="Aptos" w:hAnsi="Aptos"/>
          <w:sz w:val="30"/>
          <w:lang w:val="fr-FR"/>
        </w:rPr>
        <w:lastRenderedPageBreak/>
        <w:t>ANNEXE A</w:t>
      </w:r>
      <w:bookmarkEnd w:id="130"/>
      <w:bookmarkEnd w:id="131"/>
    </w:p>
    <w:p w14:paraId="30D025EF" w14:textId="77777777" w:rsidR="007D7CC9" w:rsidRPr="009E5F8A" w:rsidRDefault="007D7CC9" w:rsidP="007D7CC9">
      <w:pPr>
        <w:jc w:val="center"/>
        <w:rPr>
          <w:rFonts w:ascii="Aptos" w:hAnsi="Aptos"/>
          <w:lang w:val="fr-FR"/>
        </w:rPr>
      </w:pPr>
      <w:r w:rsidRPr="009E5F8A">
        <w:rPr>
          <w:rFonts w:ascii="Aptos" w:hAnsi="Aptos"/>
          <w:b/>
          <w:color w:val="1B6B4A"/>
          <w:sz w:val="24"/>
          <w:lang w:val="fr-FR"/>
        </w:rPr>
        <w:t>Bilan carbone total de l’agglomération de Jakarta</w:t>
      </w:r>
    </w:p>
    <w:p w14:paraId="3C4C1273" w14:textId="77777777" w:rsidR="007D7CC9" w:rsidRPr="009E5F8A" w:rsidRDefault="007D7CC9" w:rsidP="007D7CC9">
      <w:pPr>
        <w:jc w:val="center"/>
        <w:rPr>
          <w:rFonts w:ascii="Aptos" w:hAnsi="Aptos"/>
          <w:lang w:val="fr-FR"/>
        </w:rPr>
      </w:pPr>
      <w:r w:rsidRPr="009E5F8A">
        <w:rPr>
          <w:rFonts w:ascii="Aptos" w:hAnsi="Aptos"/>
          <w:b/>
          <w:color w:val="B41E1E"/>
          <w:sz w:val="21"/>
          <w:lang w:val="fr-FR"/>
        </w:rPr>
        <w:t>Émissions de gaz à effet de serre à l’échelle des 41,9 millions d’habitants</w:t>
      </w:r>
    </w:p>
    <w:p w14:paraId="4D6C8A56" w14:textId="77777777" w:rsidR="007D7CC9" w:rsidRPr="009E5F8A" w:rsidRDefault="007D7CC9" w:rsidP="007D7CC9">
      <w:pPr>
        <w:jc w:val="center"/>
        <w:rPr>
          <w:rFonts w:ascii="Aptos" w:hAnsi="Aptos"/>
          <w:lang w:val="fr-FR"/>
        </w:rPr>
      </w:pPr>
      <w:r w:rsidRPr="009E5F8A">
        <w:rPr>
          <w:rFonts w:ascii="Aptos" w:hAnsi="Aptos"/>
          <w:i/>
          <w:sz w:val="18"/>
          <w:lang w:val="fr-FR"/>
        </w:rPr>
        <w:t>Annexe au document « Transparence économique de Jakarta Agglomération 2026 »</w:t>
      </w:r>
      <w:r w:rsidRPr="009E5F8A">
        <w:rPr>
          <w:rFonts w:ascii="Aptos" w:hAnsi="Aptos"/>
          <w:i/>
          <w:sz w:val="18"/>
          <w:lang w:val="fr-FR"/>
        </w:rPr>
        <w:br/>
        <w:t>Sous direction de François Dorléans – Juillet 2026</w:t>
      </w:r>
    </w:p>
    <w:p w14:paraId="5803E6CC"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1. Objectif et périmètre</w:t>
      </w:r>
    </w:p>
    <w:p w14:paraId="28BA0CFB" w14:textId="77777777" w:rsidR="007D7CC9" w:rsidRPr="009E5F8A" w:rsidRDefault="007D7CC9" w:rsidP="007D7CC9">
      <w:pPr>
        <w:spacing w:after="80"/>
        <w:jc w:val="both"/>
        <w:rPr>
          <w:rFonts w:ascii="Aptos" w:hAnsi="Aptos"/>
          <w:lang w:val="fr-FR"/>
        </w:rPr>
      </w:pPr>
      <w:r w:rsidRPr="009E5F8A">
        <w:rPr>
          <w:rFonts w:ascii="Aptos" w:hAnsi="Aptos"/>
          <w:sz w:val="19"/>
          <w:lang w:val="fr-FR"/>
        </w:rPr>
        <w:t>Cette Annexe A fournit une estimation transparente des émissions de gaz à effet de serre (en équivalent CO₂) de l’agglomération de Jakarta, soit une population de référence de 41,9 millions d’habitants. Elle complète le document de transparence économique et constitue la base quantitative pour mesurer, dans les analyses ultérieures, les gains de décarbonation attendus de la trajectoire Nusantara.</w:t>
      </w:r>
    </w:p>
    <w:p w14:paraId="0490D01B" w14:textId="77777777" w:rsidR="007D7CC9" w:rsidRPr="009E5F8A" w:rsidRDefault="007D7CC9" w:rsidP="007D7CC9">
      <w:pPr>
        <w:spacing w:after="80"/>
        <w:jc w:val="both"/>
        <w:rPr>
          <w:rFonts w:ascii="Aptos" w:hAnsi="Aptos"/>
          <w:lang w:val="fr-FR"/>
        </w:rPr>
      </w:pPr>
      <w:r w:rsidRPr="009E5F8A">
        <w:rPr>
          <w:rFonts w:ascii="Aptos" w:hAnsi="Aptos"/>
          <w:sz w:val="19"/>
          <w:lang w:val="fr-FR"/>
        </w:rPr>
        <w:t>Le périmètre retenu est l’agglomération fonctionnelle (Greater Jakarta / Jabodetabek), et non le seul périmètre administratif de la DKI Jakarta.</w:t>
      </w:r>
    </w:p>
    <w:p w14:paraId="428C43E5"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2. Liste des hypothèses</w:t>
      </w:r>
    </w:p>
    <w:p w14:paraId="1A1588DA"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Population de l’agglomération : 41,9 millions d’habitants (approche type Nations Unies, 2025).</w:t>
      </w:r>
    </w:p>
    <w:p w14:paraId="472FD2CF"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Facteur d’émission du réseau électrique Java-Bali / national : 0,80 tCO₂e/MWh (valeur centrale) ; fourchette de sensibilité 0,70 – 0,90 tCO₂e/MWh.</w:t>
      </w:r>
    </w:p>
    <w:p w14:paraId="10B7313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Consommation électrique de l’agglomération : hypothèse de travail 90 – 120 TWh/an (extrapolation à partir des données nationales et de la concentration économique de Java). Valeur centrale retenue : 105 TWh/an.</w:t>
      </w:r>
    </w:p>
    <w:p w14:paraId="5EE7883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Part du froid / climatisation dans la consommation électrique de l’agglomération : 25 – 35 % (hypothèse centrale 30 %).</w:t>
      </w:r>
    </w:p>
    <w:p w14:paraId="73613DCE"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Les bâtiments et l’énergie (électricité + usages thermiques) représentent typiquement 60 à 70 % des émissions urbaines dans les grandes métropoles tropicales (références C40 et inventaires de villes comparables).</w:t>
      </w:r>
    </w:p>
    <w:p w14:paraId="748CFEE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Transport, déchets et autres secteurs complètent le bilan. Des ordres de grandeur sont fournis, mais le focus principal reste l’électricité et le froid, car ce sont les postes les plus directement actionnables dans une trajectoire de nouvelle capitale.</w:t>
      </w:r>
    </w:p>
    <w:p w14:paraId="601B8928"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Les valeurs sont des ordres de grandeur encadrés. Elles ne remplacent pas un inventaire officiel d’émissions de l’agglomération.</w:t>
      </w:r>
    </w:p>
    <w:p w14:paraId="1B69A803"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3. Émissions liées à l’électricité de l’agglomération</w:t>
      </w:r>
    </w:p>
    <w:p w14:paraId="3F5F44D2" w14:textId="77777777" w:rsidR="007D7CC9" w:rsidRPr="009E5F8A" w:rsidRDefault="007D7CC9" w:rsidP="007D7CC9">
      <w:pPr>
        <w:spacing w:after="80"/>
        <w:jc w:val="both"/>
        <w:rPr>
          <w:rFonts w:ascii="Aptos" w:hAnsi="Aptos"/>
          <w:lang w:val="fr-FR"/>
        </w:rPr>
      </w:pPr>
      <w:r w:rsidRPr="009E5F8A">
        <w:rPr>
          <w:rFonts w:ascii="Aptos" w:hAnsi="Aptos"/>
          <w:sz w:val="19"/>
          <w:lang w:val="fr-FR"/>
        </w:rPr>
        <w:t>Calcul central :</w:t>
      </w:r>
    </w:p>
    <w:p w14:paraId="44DFFBF0" w14:textId="77777777" w:rsidR="007D7CC9" w:rsidRPr="009E5F8A" w:rsidRDefault="007D7CC9" w:rsidP="007D7CC9">
      <w:pPr>
        <w:spacing w:after="80"/>
        <w:jc w:val="both"/>
        <w:rPr>
          <w:rFonts w:ascii="Aptos" w:hAnsi="Aptos"/>
          <w:lang w:val="fr-FR"/>
        </w:rPr>
      </w:pPr>
      <w:r w:rsidRPr="009E5F8A">
        <w:rPr>
          <w:rFonts w:ascii="Aptos" w:hAnsi="Aptos"/>
          <w:b/>
          <w:sz w:val="19"/>
          <w:lang w:val="fr-FR"/>
        </w:rPr>
        <w:t>105 TWh × 0,80 tCO₂e/MWh = 84 millions de tCO₂e par an.</w:t>
      </w:r>
    </w:p>
    <w:p w14:paraId="5FD1033F" w14:textId="77777777" w:rsidR="007D7CC9" w:rsidRPr="009E5F8A" w:rsidRDefault="007D7CC9" w:rsidP="007D7CC9">
      <w:pPr>
        <w:spacing w:after="80"/>
        <w:jc w:val="both"/>
        <w:rPr>
          <w:rFonts w:ascii="Aptos" w:hAnsi="Aptos"/>
          <w:lang w:val="fr-FR"/>
        </w:rPr>
      </w:pPr>
      <w:r w:rsidRPr="009E5F8A">
        <w:rPr>
          <w:rFonts w:ascii="Aptos" w:hAnsi="Aptos"/>
          <w:sz w:val="19"/>
          <w:lang w:val="fr-FR"/>
        </w:rPr>
        <w:t>Fourchette de sensibilité :</w:t>
      </w:r>
    </w:p>
    <w:p w14:paraId="707678A7"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Bas (90 TWh × 0,70) ≈ 63 MtCO₂e/an</w:t>
      </w:r>
    </w:p>
    <w:p w14:paraId="0BFF86AC"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Haut (120 TWh × 0,90) ≈ 108 MtCO₂e/an</w:t>
      </w:r>
    </w:p>
    <w:tbl>
      <w:tblPr>
        <w:tblStyle w:val="TableGrid"/>
        <w:tblW w:w="0" w:type="auto"/>
        <w:jc w:val="center"/>
        <w:tblLook w:val="04A0" w:firstRow="1" w:lastRow="0" w:firstColumn="1" w:lastColumn="0" w:noHBand="0" w:noVBand="1"/>
      </w:tblPr>
      <w:tblGrid>
        <w:gridCol w:w="3213"/>
        <w:gridCol w:w="3213"/>
        <w:gridCol w:w="3213"/>
      </w:tblGrid>
      <w:tr w:rsidR="007D7CC9" w:rsidRPr="009E5F8A" w14:paraId="1B60FF93" w14:textId="77777777" w:rsidTr="00BB33E3">
        <w:trPr>
          <w:jc w:val="center"/>
        </w:trPr>
        <w:tc>
          <w:tcPr>
            <w:tcW w:w="3213" w:type="dxa"/>
          </w:tcPr>
          <w:p w14:paraId="64DE2C74" w14:textId="77777777" w:rsidR="007D7CC9" w:rsidRPr="009E5F8A" w:rsidRDefault="007D7CC9" w:rsidP="00BB33E3">
            <w:pPr>
              <w:rPr>
                <w:rFonts w:ascii="Aptos" w:hAnsi="Aptos"/>
                <w:lang w:val="fr-FR"/>
              </w:rPr>
            </w:pPr>
            <w:r w:rsidRPr="009E5F8A">
              <w:rPr>
                <w:rFonts w:ascii="Aptos" w:eastAsia="Arial" w:hAnsi="Aptos"/>
                <w:b/>
                <w:sz w:val="17"/>
                <w:lang w:val="fr-FR"/>
              </w:rPr>
              <w:t>Scénario</w:t>
            </w:r>
          </w:p>
        </w:tc>
        <w:tc>
          <w:tcPr>
            <w:tcW w:w="3213" w:type="dxa"/>
          </w:tcPr>
          <w:p w14:paraId="3A5C5248" w14:textId="77777777" w:rsidR="007D7CC9" w:rsidRPr="009E5F8A" w:rsidRDefault="007D7CC9" w:rsidP="00BB33E3">
            <w:pPr>
              <w:rPr>
                <w:rFonts w:ascii="Aptos" w:hAnsi="Aptos"/>
                <w:lang w:val="fr-FR"/>
              </w:rPr>
            </w:pPr>
            <w:r w:rsidRPr="009E5F8A">
              <w:rPr>
                <w:rFonts w:ascii="Aptos" w:eastAsia="Arial" w:hAnsi="Aptos"/>
                <w:b/>
                <w:sz w:val="17"/>
                <w:lang w:val="fr-FR"/>
              </w:rPr>
              <w:t>Consommation électrique</w:t>
            </w:r>
          </w:p>
        </w:tc>
        <w:tc>
          <w:tcPr>
            <w:tcW w:w="3213" w:type="dxa"/>
          </w:tcPr>
          <w:p w14:paraId="02CD5C77" w14:textId="77777777" w:rsidR="007D7CC9" w:rsidRPr="009E5F8A" w:rsidRDefault="007D7CC9" w:rsidP="00BB33E3">
            <w:pPr>
              <w:rPr>
                <w:rFonts w:ascii="Aptos" w:hAnsi="Aptos"/>
                <w:lang w:val="fr-FR"/>
              </w:rPr>
            </w:pPr>
            <w:r w:rsidRPr="009E5F8A">
              <w:rPr>
                <w:rFonts w:ascii="Aptos" w:eastAsia="Arial" w:hAnsi="Aptos"/>
                <w:b/>
                <w:sz w:val="17"/>
                <w:lang w:val="fr-FR"/>
              </w:rPr>
              <w:t>Émissions (MtCO₂e/an)</w:t>
            </w:r>
          </w:p>
        </w:tc>
      </w:tr>
      <w:tr w:rsidR="007D7CC9" w:rsidRPr="009E5F8A" w14:paraId="659EC259" w14:textId="77777777" w:rsidTr="00BB33E3">
        <w:trPr>
          <w:jc w:val="center"/>
        </w:trPr>
        <w:tc>
          <w:tcPr>
            <w:tcW w:w="3213" w:type="dxa"/>
          </w:tcPr>
          <w:p w14:paraId="733962AC" w14:textId="77777777" w:rsidR="007D7CC9" w:rsidRPr="009E5F8A" w:rsidRDefault="007D7CC9" w:rsidP="00BB33E3">
            <w:pPr>
              <w:rPr>
                <w:rFonts w:ascii="Aptos" w:hAnsi="Aptos"/>
                <w:lang w:val="fr-FR"/>
              </w:rPr>
            </w:pPr>
            <w:r w:rsidRPr="009E5F8A">
              <w:rPr>
                <w:rFonts w:ascii="Aptos" w:eastAsia="Arial" w:hAnsi="Aptos"/>
                <w:sz w:val="17"/>
                <w:lang w:val="fr-FR"/>
              </w:rPr>
              <w:t>Bas</w:t>
            </w:r>
          </w:p>
        </w:tc>
        <w:tc>
          <w:tcPr>
            <w:tcW w:w="3213" w:type="dxa"/>
          </w:tcPr>
          <w:p w14:paraId="7B8B6122" w14:textId="77777777" w:rsidR="007D7CC9" w:rsidRPr="009E5F8A" w:rsidRDefault="007D7CC9" w:rsidP="00BB33E3">
            <w:pPr>
              <w:rPr>
                <w:rFonts w:ascii="Aptos" w:hAnsi="Aptos"/>
                <w:lang w:val="fr-FR"/>
              </w:rPr>
            </w:pPr>
            <w:r w:rsidRPr="009E5F8A">
              <w:rPr>
                <w:rFonts w:ascii="Aptos" w:eastAsia="Arial" w:hAnsi="Aptos"/>
                <w:sz w:val="17"/>
                <w:lang w:val="fr-FR"/>
              </w:rPr>
              <w:t>90 TWh × 0,70</w:t>
            </w:r>
          </w:p>
        </w:tc>
        <w:tc>
          <w:tcPr>
            <w:tcW w:w="3213" w:type="dxa"/>
          </w:tcPr>
          <w:p w14:paraId="2D1A50E9" w14:textId="77777777" w:rsidR="007D7CC9" w:rsidRPr="009E5F8A" w:rsidRDefault="007D7CC9" w:rsidP="00BB33E3">
            <w:pPr>
              <w:rPr>
                <w:rFonts w:ascii="Aptos" w:hAnsi="Aptos"/>
                <w:lang w:val="fr-FR"/>
              </w:rPr>
            </w:pPr>
            <w:r w:rsidRPr="009E5F8A">
              <w:rPr>
                <w:rFonts w:ascii="Aptos" w:eastAsia="Arial" w:hAnsi="Aptos"/>
                <w:sz w:val="17"/>
                <w:lang w:val="fr-FR"/>
              </w:rPr>
              <w:t>≈ 63</w:t>
            </w:r>
          </w:p>
        </w:tc>
      </w:tr>
      <w:tr w:rsidR="007D7CC9" w:rsidRPr="009E5F8A" w14:paraId="27F214A3" w14:textId="77777777" w:rsidTr="00BB33E3">
        <w:trPr>
          <w:jc w:val="center"/>
        </w:trPr>
        <w:tc>
          <w:tcPr>
            <w:tcW w:w="3213" w:type="dxa"/>
          </w:tcPr>
          <w:p w14:paraId="1692CA05" w14:textId="77777777" w:rsidR="007D7CC9" w:rsidRPr="009E5F8A" w:rsidRDefault="007D7CC9" w:rsidP="00BB33E3">
            <w:pPr>
              <w:rPr>
                <w:rFonts w:ascii="Aptos" w:hAnsi="Aptos"/>
                <w:lang w:val="fr-FR"/>
              </w:rPr>
            </w:pPr>
            <w:r w:rsidRPr="009E5F8A">
              <w:rPr>
                <w:rFonts w:ascii="Aptos" w:eastAsia="Arial" w:hAnsi="Aptos"/>
                <w:sz w:val="17"/>
                <w:lang w:val="fr-FR"/>
              </w:rPr>
              <w:t>Central</w:t>
            </w:r>
          </w:p>
        </w:tc>
        <w:tc>
          <w:tcPr>
            <w:tcW w:w="3213" w:type="dxa"/>
          </w:tcPr>
          <w:p w14:paraId="185CD4B2" w14:textId="77777777" w:rsidR="007D7CC9" w:rsidRPr="009E5F8A" w:rsidRDefault="007D7CC9" w:rsidP="00BB33E3">
            <w:pPr>
              <w:rPr>
                <w:rFonts w:ascii="Aptos" w:hAnsi="Aptos"/>
                <w:lang w:val="fr-FR"/>
              </w:rPr>
            </w:pPr>
            <w:r w:rsidRPr="009E5F8A">
              <w:rPr>
                <w:rFonts w:ascii="Aptos" w:eastAsia="Arial" w:hAnsi="Aptos"/>
                <w:sz w:val="17"/>
                <w:lang w:val="fr-FR"/>
              </w:rPr>
              <w:t>105 TWh × 0,80</w:t>
            </w:r>
          </w:p>
        </w:tc>
        <w:tc>
          <w:tcPr>
            <w:tcW w:w="3213" w:type="dxa"/>
          </w:tcPr>
          <w:p w14:paraId="3C5870F4" w14:textId="77777777" w:rsidR="007D7CC9" w:rsidRPr="009E5F8A" w:rsidRDefault="007D7CC9" w:rsidP="00BB33E3">
            <w:pPr>
              <w:rPr>
                <w:rFonts w:ascii="Aptos" w:hAnsi="Aptos"/>
                <w:lang w:val="fr-FR"/>
              </w:rPr>
            </w:pPr>
            <w:r w:rsidRPr="009E5F8A">
              <w:rPr>
                <w:rFonts w:ascii="Aptos" w:eastAsia="Arial" w:hAnsi="Aptos"/>
                <w:sz w:val="17"/>
                <w:lang w:val="fr-FR"/>
              </w:rPr>
              <w:t>≈ 84</w:t>
            </w:r>
          </w:p>
        </w:tc>
      </w:tr>
      <w:tr w:rsidR="007D7CC9" w:rsidRPr="009E5F8A" w14:paraId="3581CB56" w14:textId="77777777" w:rsidTr="00BB33E3">
        <w:trPr>
          <w:jc w:val="center"/>
        </w:trPr>
        <w:tc>
          <w:tcPr>
            <w:tcW w:w="3213" w:type="dxa"/>
          </w:tcPr>
          <w:p w14:paraId="0D0E7C72" w14:textId="77777777" w:rsidR="007D7CC9" w:rsidRPr="009E5F8A" w:rsidRDefault="007D7CC9" w:rsidP="00BB33E3">
            <w:pPr>
              <w:rPr>
                <w:rFonts w:ascii="Aptos" w:hAnsi="Aptos"/>
                <w:lang w:val="fr-FR"/>
              </w:rPr>
            </w:pPr>
            <w:r w:rsidRPr="009E5F8A">
              <w:rPr>
                <w:rFonts w:ascii="Aptos" w:eastAsia="Arial" w:hAnsi="Aptos"/>
                <w:sz w:val="17"/>
                <w:lang w:val="fr-FR"/>
              </w:rPr>
              <w:t>Haut</w:t>
            </w:r>
          </w:p>
        </w:tc>
        <w:tc>
          <w:tcPr>
            <w:tcW w:w="3213" w:type="dxa"/>
          </w:tcPr>
          <w:p w14:paraId="7FC8E2F9" w14:textId="77777777" w:rsidR="007D7CC9" w:rsidRPr="009E5F8A" w:rsidRDefault="007D7CC9" w:rsidP="00BB33E3">
            <w:pPr>
              <w:rPr>
                <w:rFonts w:ascii="Aptos" w:hAnsi="Aptos"/>
                <w:lang w:val="fr-FR"/>
              </w:rPr>
            </w:pPr>
            <w:r w:rsidRPr="009E5F8A">
              <w:rPr>
                <w:rFonts w:ascii="Aptos" w:eastAsia="Arial" w:hAnsi="Aptos"/>
                <w:sz w:val="17"/>
                <w:lang w:val="fr-FR"/>
              </w:rPr>
              <w:t>120 TWh × 0,90</w:t>
            </w:r>
          </w:p>
        </w:tc>
        <w:tc>
          <w:tcPr>
            <w:tcW w:w="3213" w:type="dxa"/>
          </w:tcPr>
          <w:p w14:paraId="58B8682F" w14:textId="77777777" w:rsidR="007D7CC9" w:rsidRPr="009E5F8A" w:rsidRDefault="007D7CC9" w:rsidP="00BB33E3">
            <w:pPr>
              <w:rPr>
                <w:rFonts w:ascii="Aptos" w:hAnsi="Aptos"/>
                <w:lang w:val="fr-FR"/>
              </w:rPr>
            </w:pPr>
            <w:r w:rsidRPr="009E5F8A">
              <w:rPr>
                <w:rFonts w:ascii="Aptos" w:eastAsia="Arial" w:hAnsi="Aptos"/>
                <w:sz w:val="17"/>
                <w:lang w:val="fr-FR"/>
              </w:rPr>
              <w:t>≈ 108</w:t>
            </w:r>
          </w:p>
        </w:tc>
      </w:tr>
    </w:tbl>
    <w:p w14:paraId="4F626A2C" w14:textId="77777777" w:rsidR="007D7CC9" w:rsidRPr="009E5F8A" w:rsidRDefault="007D7CC9" w:rsidP="007D7CC9">
      <w:pPr>
        <w:spacing w:before="40" w:after="120"/>
        <w:jc w:val="center"/>
        <w:rPr>
          <w:rFonts w:ascii="Aptos" w:hAnsi="Aptos"/>
          <w:lang w:val="fr-FR"/>
        </w:rPr>
      </w:pPr>
      <w:r w:rsidRPr="009E5F8A">
        <w:rPr>
          <w:rFonts w:ascii="Aptos" w:hAnsi="Aptos"/>
          <w:i/>
          <w:color w:val="3C3C3C"/>
          <w:sz w:val="17"/>
          <w:lang w:val="fr-FR"/>
        </w:rPr>
        <w:t>Fig. A1 – Émissions liées à l’électricité – Jakarta Agglomération (41,9 millions)</w:t>
      </w:r>
    </w:p>
    <w:p w14:paraId="0D900237"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4. Émissions attribuables au froid et à la climatisation</w:t>
      </w:r>
    </w:p>
    <w:p w14:paraId="68B19E7E" w14:textId="77777777" w:rsidR="007D7CC9" w:rsidRPr="009E5F8A" w:rsidRDefault="007D7CC9" w:rsidP="007D7CC9">
      <w:pPr>
        <w:spacing w:after="80"/>
        <w:jc w:val="both"/>
        <w:rPr>
          <w:rFonts w:ascii="Aptos" w:hAnsi="Aptos"/>
          <w:lang w:val="fr-FR"/>
        </w:rPr>
      </w:pPr>
      <w:r w:rsidRPr="009E5F8A">
        <w:rPr>
          <w:rFonts w:ascii="Aptos" w:hAnsi="Aptos"/>
          <w:sz w:val="19"/>
          <w:lang w:val="fr-FR"/>
        </w:rPr>
        <w:t>En retenant 30 % de la consommation électrique dédiée au froid (hypothèse centrale) :</w:t>
      </w:r>
    </w:p>
    <w:p w14:paraId="011A2F8E" w14:textId="77777777" w:rsidR="007D7CC9" w:rsidRPr="009E5F8A" w:rsidRDefault="007D7CC9" w:rsidP="007D7CC9">
      <w:pPr>
        <w:spacing w:after="80"/>
        <w:jc w:val="both"/>
        <w:rPr>
          <w:rFonts w:ascii="Aptos" w:hAnsi="Aptos"/>
          <w:lang w:val="fr-FR"/>
        </w:rPr>
      </w:pPr>
      <w:r w:rsidRPr="009E5F8A">
        <w:rPr>
          <w:rFonts w:ascii="Aptos" w:hAnsi="Aptos"/>
          <w:b/>
          <w:sz w:val="19"/>
          <w:lang w:val="fr-FR"/>
        </w:rPr>
        <w:t>84 MtCO₂e × 0,30 = 25,2 millions de tCO₂e par an.</w:t>
      </w:r>
    </w:p>
    <w:p w14:paraId="649EFDA7" w14:textId="77777777" w:rsidR="007D7CC9" w:rsidRPr="009E5F8A" w:rsidRDefault="007D7CC9" w:rsidP="007D7CC9">
      <w:pPr>
        <w:spacing w:after="80"/>
        <w:jc w:val="both"/>
        <w:rPr>
          <w:rFonts w:ascii="Aptos" w:hAnsi="Aptos"/>
          <w:lang w:val="fr-FR"/>
        </w:rPr>
      </w:pPr>
      <w:r w:rsidRPr="009E5F8A">
        <w:rPr>
          <w:rFonts w:ascii="Aptos" w:hAnsi="Aptos"/>
          <w:sz w:val="19"/>
          <w:lang w:val="fr-FR"/>
        </w:rPr>
        <w:t>Fourchette : 16 à 38 MtCO₂e/an selon les hypothèses de volume et de facteur d’émission.</w:t>
      </w:r>
    </w:p>
    <w:p w14:paraId="4275C9CF" w14:textId="77777777" w:rsidR="007D7CC9" w:rsidRPr="009E5F8A" w:rsidRDefault="007D7CC9" w:rsidP="007D7CC9">
      <w:pPr>
        <w:spacing w:before="120" w:after="40"/>
        <w:rPr>
          <w:rFonts w:ascii="Aptos" w:hAnsi="Aptos"/>
          <w:lang w:val="fr-FR"/>
        </w:rPr>
      </w:pPr>
      <w:r w:rsidRPr="009E5F8A">
        <w:rPr>
          <w:rFonts w:ascii="Aptos" w:hAnsi="Aptos"/>
          <w:b/>
          <w:color w:val="0A2540"/>
          <w:lang w:val="fr-FR"/>
        </w:rPr>
        <w:t>Répartition indicative par usage de froid</w:t>
      </w:r>
    </w:p>
    <w:p w14:paraId="3BCBDCD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Climatisation résidentielle (immeubles d’habitation) : ≈ 10 – 13 MtCO₂e/an</w:t>
      </w:r>
    </w:p>
    <w:p w14:paraId="16E431B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Climatisation services publics, tertiaire et commercial : ≈ 7 – 9 MtCO₂e/an</w:t>
      </w:r>
    </w:p>
    <w:p w14:paraId="4B54453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Froid industriel + production de glace (restauration, chaîne alimentaire) : ≈ 4 – 6 MtCO₂e/an</w:t>
      </w:r>
    </w:p>
    <w:tbl>
      <w:tblPr>
        <w:tblStyle w:val="TableGrid"/>
        <w:tblW w:w="0" w:type="auto"/>
        <w:jc w:val="center"/>
        <w:tblLook w:val="04A0" w:firstRow="1" w:lastRow="0" w:firstColumn="1" w:lastColumn="0" w:noHBand="0" w:noVBand="1"/>
      </w:tblPr>
      <w:tblGrid>
        <w:gridCol w:w="4819"/>
        <w:gridCol w:w="4819"/>
      </w:tblGrid>
      <w:tr w:rsidR="007D7CC9" w:rsidRPr="009E5F8A" w14:paraId="57085351" w14:textId="77777777" w:rsidTr="00BB33E3">
        <w:trPr>
          <w:jc w:val="center"/>
        </w:trPr>
        <w:tc>
          <w:tcPr>
            <w:tcW w:w="4819" w:type="dxa"/>
          </w:tcPr>
          <w:p w14:paraId="7AF06C54" w14:textId="77777777" w:rsidR="007D7CC9" w:rsidRPr="009E5F8A" w:rsidRDefault="007D7CC9" w:rsidP="00BB33E3">
            <w:pPr>
              <w:rPr>
                <w:rFonts w:ascii="Aptos" w:hAnsi="Aptos"/>
                <w:lang w:val="fr-FR"/>
              </w:rPr>
            </w:pPr>
            <w:r w:rsidRPr="009E5F8A">
              <w:rPr>
                <w:rFonts w:ascii="Aptos" w:eastAsia="Arial" w:hAnsi="Aptos"/>
                <w:b/>
                <w:sz w:val="17"/>
                <w:lang w:val="fr-FR"/>
              </w:rPr>
              <w:t>Usage de froid</w:t>
            </w:r>
          </w:p>
        </w:tc>
        <w:tc>
          <w:tcPr>
            <w:tcW w:w="4819" w:type="dxa"/>
          </w:tcPr>
          <w:p w14:paraId="7478BD6F" w14:textId="77777777" w:rsidR="007D7CC9" w:rsidRPr="009E5F8A" w:rsidRDefault="007D7CC9" w:rsidP="00BB33E3">
            <w:pPr>
              <w:rPr>
                <w:rFonts w:ascii="Aptos" w:hAnsi="Aptos"/>
                <w:lang w:val="fr-FR"/>
              </w:rPr>
            </w:pPr>
            <w:r w:rsidRPr="009E5F8A">
              <w:rPr>
                <w:rFonts w:ascii="Aptos" w:eastAsia="Arial" w:hAnsi="Aptos"/>
                <w:b/>
                <w:sz w:val="17"/>
                <w:lang w:val="fr-FR"/>
              </w:rPr>
              <w:t>Émissions indicatives (MtCO₂e/an)</w:t>
            </w:r>
          </w:p>
        </w:tc>
      </w:tr>
      <w:tr w:rsidR="007D7CC9" w:rsidRPr="009E5F8A" w14:paraId="5DE42C37" w14:textId="77777777" w:rsidTr="00BB33E3">
        <w:trPr>
          <w:jc w:val="center"/>
        </w:trPr>
        <w:tc>
          <w:tcPr>
            <w:tcW w:w="4819" w:type="dxa"/>
          </w:tcPr>
          <w:p w14:paraId="75713E56" w14:textId="77777777" w:rsidR="007D7CC9" w:rsidRPr="009E5F8A" w:rsidRDefault="007D7CC9" w:rsidP="00BB33E3">
            <w:pPr>
              <w:rPr>
                <w:rFonts w:ascii="Aptos" w:hAnsi="Aptos"/>
                <w:lang w:val="fr-FR"/>
              </w:rPr>
            </w:pPr>
            <w:r w:rsidRPr="009E5F8A">
              <w:rPr>
                <w:rFonts w:ascii="Aptos" w:eastAsia="Arial" w:hAnsi="Aptos"/>
                <w:sz w:val="17"/>
                <w:lang w:val="fr-FR"/>
              </w:rPr>
              <w:t>Climatisation résidentielle</w:t>
            </w:r>
          </w:p>
        </w:tc>
        <w:tc>
          <w:tcPr>
            <w:tcW w:w="4819" w:type="dxa"/>
          </w:tcPr>
          <w:p w14:paraId="1471695F" w14:textId="77777777" w:rsidR="007D7CC9" w:rsidRPr="009E5F8A" w:rsidRDefault="007D7CC9" w:rsidP="00BB33E3">
            <w:pPr>
              <w:rPr>
                <w:rFonts w:ascii="Aptos" w:hAnsi="Aptos"/>
                <w:lang w:val="fr-FR"/>
              </w:rPr>
            </w:pPr>
            <w:r w:rsidRPr="009E5F8A">
              <w:rPr>
                <w:rFonts w:ascii="Aptos" w:eastAsia="Arial" w:hAnsi="Aptos"/>
                <w:sz w:val="17"/>
                <w:lang w:val="fr-FR"/>
              </w:rPr>
              <w:t>10 – 13</w:t>
            </w:r>
          </w:p>
        </w:tc>
      </w:tr>
      <w:tr w:rsidR="007D7CC9" w:rsidRPr="009E5F8A" w14:paraId="02F76B67" w14:textId="77777777" w:rsidTr="00BB33E3">
        <w:trPr>
          <w:jc w:val="center"/>
        </w:trPr>
        <w:tc>
          <w:tcPr>
            <w:tcW w:w="4819" w:type="dxa"/>
          </w:tcPr>
          <w:p w14:paraId="1581177E" w14:textId="77777777" w:rsidR="007D7CC9" w:rsidRPr="009E5F8A" w:rsidRDefault="007D7CC9" w:rsidP="00BB33E3">
            <w:pPr>
              <w:rPr>
                <w:rFonts w:ascii="Aptos" w:hAnsi="Aptos"/>
                <w:lang w:val="fr-FR"/>
              </w:rPr>
            </w:pPr>
            <w:r w:rsidRPr="009E5F8A">
              <w:rPr>
                <w:rFonts w:ascii="Aptos" w:eastAsia="Arial" w:hAnsi="Aptos"/>
                <w:sz w:val="17"/>
                <w:lang w:val="fr-FR"/>
              </w:rPr>
              <w:lastRenderedPageBreak/>
              <w:t>Services publics / tertiaire / commercial</w:t>
            </w:r>
          </w:p>
        </w:tc>
        <w:tc>
          <w:tcPr>
            <w:tcW w:w="4819" w:type="dxa"/>
          </w:tcPr>
          <w:p w14:paraId="146F0AA0" w14:textId="77777777" w:rsidR="007D7CC9" w:rsidRPr="009E5F8A" w:rsidRDefault="007D7CC9" w:rsidP="00BB33E3">
            <w:pPr>
              <w:rPr>
                <w:rFonts w:ascii="Aptos" w:hAnsi="Aptos"/>
                <w:lang w:val="fr-FR"/>
              </w:rPr>
            </w:pPr>
            <w:r w:rsidRPr="009E5F8A">
              <w:rPr>
                <w:rFonts w:ascii="Aptos" w:eastAsia="Arial" w:hAnsi="Aptos"/>
                <w:sz w:val="17"/>
                <w:lang w:val="fr-FR"/>
              </w:rPr>
              <w:t>7 – 9</w:t>
            </w:r>
          </w:p>
        </w:tc>
      </w:tr>
      <w:tr w:rsidR="007D7CC9" w:rsidRPr="009E5F8A" w14:paraId="36B86BD7" w14:textId="77777777" w:rsidTr="00BB33E3">
        <w:trPr>
          <w:jc w:val="center"/>
        </w:trPr>
        <w:tc>
          <w:tcPr>
            <w:tcW w:w="4819" w:type="dxa"/>
          </w:tcPr>
          <w:p w14:paraId="68E008A3" w14:textId="77777777" w:rsidR="007D7CC9" w:rsidRPr="009E5F8A" w:rsidRDefault="007D7CC9" w:rsidP="00BB33E3">
            <w:pPr>
              <w:rPr>
                <w:rFonts w:ascii="Aptos" w:hAnsi="Aptos"/>
                <w:lang w:val="fr-FR"/>
              </w:rPr>
            </w:pPr>
            <w:r w:rsidRPr="009E5F8A">
              <w:rPr>
                <w:rFonts w:ascii="Aptos" w:eastAsia="Arial" w:hAnsi="Aptos"/>
                <w:sz w:val="17"/>
                <w:lang w:val="fr-FR"/>
              </w:rPr>
              <w:t>Froid industriel + production de glace</w:t>
            </w:r>
          </w:p>
        </w:tc>
        <w:tc>
          <w:tcPr>
            <w:tcW w:w="4819" w:type="dxa"/>
          </w:tcPr>
          <w:p w14:paraId="75B83439" w14:textId="77777777" w:rsidR="007D7CC9" w:rsidRPr="009E5F8A" w:rsidRDefault="007D7CC9" w:rsidP="00BB33E3">
            <w:pPr>
              <w:rPr>
                <w:rFonts w:ascii="Aptos" w:hAnsi="Aptos"/>
                <w:lang w:val="fr-FR"/>
              </w:rPr>
            </w:pPr>
            <w:r w:rsidRPr="009E5F8A">
              <w:rPr>
                <w:rFonts w:ascii="Aptos" w:eastAsia="Arial" w:hAnsi="Aptos"/>
                <w:sz w:val="17"/>
                <w:lang w:val="fr-FR"/>
              </w:rPr>
              <w:t>4 – 6</w:t>
            </w:r>
          </w:p>
        </w:tc>
      </w:tr>
      <w:tr w:rsidR="007D7CC9" w:rsidRPr="009E5F8A" w14:paraId="4D3F95D6" w14:textId="77777777" w:rsidTr="00BB33E3">
        <w:trPr>
          <w:jc w:val="center"/>
        </w:trPr>
        <w:tc>
          <w:tcPr>
            <w:tcW w:w="4819" w:type="dxa"/>
          </w:tcPr>
          <w:p w14:paraId="5C0DD79E" w14:textId="77777777" w:rsidR="007D7CC9" w:rsidRPr="009E5F8A" w:rsidRDefault="007D7CC9" w:rsidP="00BB33E3">
            <w:pPr>
              <w:rPr>
                <w:rFonts w:ascii="Aptos" w:hAnsi="Aptos"/>
                <w:lang w:val="fr-FR"/>
              </w:rPr>
            </w:pPr>
            <w:r w:rsidRPr="009E5F8A">
              <w:rPr>
                <w:rFonts w:ascii="Aptos" w:eastAsia="Arial" w:hAnsi="Aptos"/>
                <w:b/>
                <w:sz w:val="17"/>
                <w:lang w:val="fr-FR"/>
              </w:rPr>
              <w:t>Total froid (central)</w:t>
            </w:r>
          </w:p>
        </w:tc>
        <w:tc>
          <w:tcPr>
            <w:tcW w:w="4819" w:type="dxa"/>
          </w:tcPr>
          <w:p w14:paraId="1A15B14D" w14:textId="77777777" w:rsidR="007D7CC9" w:rsidRPr="009E5F8A" w:rsidRDefault="007D7CC9" w:rsidP="00BB33E3">
            <w:pPr>
              <w:rPr>
                <w:rFonts w:ascii="Aptos" w:hAnsi="Aptos"/>
                <w:lang w:val="fr-FR"/>
              </w:rPr>
            </w:pPr>
            <w:r w:rsidRPr="009E5F8A">
              <w:rPr>
                <w:rFonts w:ascii="Aptos" w:eastAsia="Arial" w:hAnsi="Aptos"/>
                <w:b/>
                <w:sz w:val="17"/>
                <w:lang w:val="fr-FR"/>
              </w:rPr>
              <w:t>≈ 25</w:t>
            </w:r>
          </w:p>
        </w:tc>
      </w:tr>
    </w:tbl>
    <w:p w14:paraId="1B641BCB" w14:textId="77777777" w:rsidR="007D7CC9" w:rsidRPr="009E5F8A" w:rsidRDefault="007D7CC9" w:rsidP="007D7CC9">
      <w:pPr>
        <w:spacing w:before="40" w:after="120"/>
        <w:jc w:val="center"/>
        <w:rPr>
          <w:rFonts w:ascii="Aptos" w:hAnsi="Aptos"/>
          <w:lang w:val="fr-FR"/>
        </w:rPr>
      </w:pPr>
      <w:r w:rsidRPr="009E5F8A">
        <w:rPr>
          <w:rFonts w:ascii="Aptos" w:hAnsi="Aptos"/>
          <w:i/>
          <w:color w:val="3C3C3C"/>
          <w:sz w:val="17"/>
          <w:lang w:val="fr-FR"/>
        </w:rPr>
        <w:t>Fig. A2 – Répartition indicative des émissions liées au froid – Jakarta Agglomération</w:t>
      </w:r>
    </w:p>
    <w:p w14:paraId="6A8B078C"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5. Bilan carbone total indicatif de l’agglomération</w:t>
      </w:r>
    </w:p>
    <w:p w14:paraId="72AD66AA" w14:textId="77777777" w:rsidR="007D7CC9" w:rsidRPr="009E5F8A" w:rsidRDefault="007D7CC9" w:rsidP="007D7CC9">
      <w:pPr>
        <w:spacing w:after="80"/>
        <w:jc w:val="both"/>
        <w:rPr>
          <w:rFonts w:ascii="Aptos" w:hAnsi="Aptos"/>
          <w:lang w:val="fr-FR"/>
        </w:rPr>
      </w:pPr>
      <w:r w:rsidRPr="009E5F8A">
        <w:rPr>
          <w:rFonts w:ascii="Aptos" w:hAnsi="Aptos"/>
          <w:sz w:val="19"/>
          <w:lang w:val="fr-FR"/>
        </w:rPr>
        <w:t>En s’appuyant sur la structure typique des inventaires urbains des grandes métropoles tropicales (dominance de l’énergie des bâtiments, puis transport, puis déchets et autres), un ordre de grandeur du bilan total de l’agglomération peut être proposé :</w:t>
      </w:r>
    </w:p>
    <w:tbl>
      <w:tblPr>
        <w:tblStyle w:val="TableGrid"/>
        <w:tblW w:w="0" w:type="auto"/>
        <w:jc w:val="center"/>
        <w:tblLook w:val="04A0" w:firstRow="1" w:lastRow="0" w:firstColumn="1" w:lastColumn="0" w:noHBand="0" w:noVBand="1"/>
      </w:tblPr>
      <w:tblGrid>
        <w:gridCol w:w="4819"/>
        <w:gridCol w:w="4819"/>
      </w:tblGrid>
      <w:tr w:rsidR="007D7CC9" w:rsidRPr="009E5F8A" w14:paraId="7D98F4D2" w14:textId="77777777" w:rsidTr="00BB33E3">
        <w:trPr>
          <w:jc w:val="center"/>
        </w:trPr>
        <w:tc>
          <w:tcPr>
            <w:tcW w:w="4819" w:type="dxa"/>
          </w:tcPr>
          <w:p w14:paraId="01487BAD" w14:textId="77777777" w:rsidR="007D7CC9" w:rsidRPr="009E5F8A" w:rsidRDefault="007D7CC9" w:rsidP="00BB33E3">
            <w:pPr>
              <w:rPr>
                <w:rFonts w:ascii="Aptos" w:hAnsi="Aptos"/>
                <w:lang w:val="fr-FR"/>
              </w:rPr>
            </w:pPr>
            <w:r w:rsidRPr="009E5F8A">
              <w:rPr>
                <w:rFonts w:ascii="Aptos" w:eastAsia="Arial" w:hAnsi="Aptos"/>
                <w:b/>
                <w:sz w:val="17"/>
                <w:lang w:val="fr-FR"/>
              </w:rPr>
              <w:t>Poste</w:t>
            </w:r>
          </w:p>
        </w:tc>
        <w:tc>
          <w:tcPr>
            <w:tcW w:w="4819" w:type="dxa"/>
          </w:tcPr>
          <w:p w14:paraId="54BD4F53" w14:textId="77777777" w:rsidR="007D7CC9" w:rsidRPr="009E5F8A" w:rsidRDefault="007D7CC9" w:rsidP="00BB33E3">
            <w:pPr>
              <w:rPr>
                <w:rFonts w:ascii="Aptos" w:hAnsi="Aptos"/>
                <w:lang w:val="fr-FR"/>
              </w:rPr>
            </w:pPr>
            <w:r w:rsidRPr="009E5F8A">
              <w:rPr>
                <w:rFonts w:ascii="Aptos" w:eastAsia="Arial" w:hAnsi="Aptos"/>
                <w:b/>
                <w:sz w:val="17"/>
                <w:lang w:val="fr-FR"/>
              </w:rPr>
              <w:t>Ordre de grandeur (MtCO₂e/an)</w:t>
            </w:r>
          </w:p>
        </w:tc>
      </w:tr>
      <w:tr w:rsidR="007D7CC9" w:rsidRPr="009E5F8A" w14:paraId="3DC1BFCE" w14:textId="77777777" w:rsidTr="00BB33E3">
        <w:trPr>
          <w:jc w:val="center"/>
        </w:trPr>
        <w:tc>
          <w:tcPr>
            <w:tcW w:w="4819" w:type="dxa"/>
          </w:tcPr>
          <w:p w14:paraId="6FF52781" w14:textId="77777777" w:rsidR="007D7CC9" w:rsidRPr="009E5F8A" w:rsidRDefault="007D7CC9" w:rsidP="00BB33E3">
            <w:pPr>
              <w:rPr>
                <w:rFonts w:ascii="Aptos" w:hAnsi="Aptos"/>
                <w:lang w:val="fr-FR"/>
              </w:rPr>
            </w:pPr>
            <w:r w:rsidRPr="009E5F8A">
              <w:rPr>
                <w:rFonts w:ascii="Aptos" w:eastAsia="Arial" w:hAnsi="Aptos"/>
                <w:sz w:val="17"/>
                <w:lang w:val="fr-FR"/>
              </w:rPr>
              <w:t>Électricité (tous usages)</w:t>
            </w:r>
          </w:p>
        </w:tc>
        <w:tc>
          <w:tcPr>
            <w:tcW w:w="4819" w:type="dxa"/>
          </w:tcPr>
          <w:p w14:paraId="2AF96C70" w14:textId="77777777" w:rsidR="007D7CC9" w:rsidRPr="009E5F8A" w:rsidRDefault="007D7CC9" w:rsidP="00BB33E3">
            <w:pPr>
              <w:rPr>
                <w:rFonts w:ascii="Aptos" w:hAnsi="Aptos"/>
                <w:lang w:val="fr-FR"/>
              </w:rPr>
            </w:pPr>
            <w:r w:rsidRPr="009E5F8A">
              <w:rPr>
                <w:rFonts w:ascii="Aptos" w:eastAsia="Arial" w:hAnsi="Aptos"/>
                <w:sz w:val="17"/>
                <w:lang w:val="fr-FR"/>
              </w:rPr>
              <w:t>63 – 108 (central ≈ 84)</w:t>
            </w:r>
          </w:p>
        </w:tc>
      </w:tr>
      <w:tr w:rsidR="007D7CC9" w:rsidRPr="009E5F8A" w14:paraId="75DC991A" w14:textId="77777777" w:rsidTr="00BB33E3">
        <w:trPr>
          <w:jc w:val="center"/>
        </w:trPr>
        <w:tc>
          <w:tcPr>
            <w:tcW w:w="4819" w:type="dxa"/>
          </w:tcPr>
          <w:p w14:paraId="4CE827BD" w14:textId="77777777" w:rsidR="007D7CC9" w:rsidRPr="009E5F8A" w:rsidRDefault="007D7CC9" w:rsidP="00BB33E3">
            <w:pPr>
              <w:rPr>
                <w:rFonts w:ascii="Aptos" w:hAnsi="Aptos"/>
                <w:lang w:val="fr-FR"/>
              </w:rPr>
            </w:pPr>
            <w:r w:rsidRPr="009E5F8A">
              <w:rPr>
                <w:rFonts w:ascii="Aptos" w:eastAsia="Arial" w:hAnsi="Aptos"/>
                <w:sz w:val="17"/>
                <w:lang w:val="fr-FR"/>
              </w:rPr>
              <w:t>dont Froid / Climatisation</w:t>
            </w:r>
          </w:p>
        </w:tc>
        <w:tc>
          <w:tcPr>
            <w:tcW w:w="4819" w:type="dxa"/>
          </w:tcPr>
          <w:p w14:paraId="014958B4" w14:textId="77777777" w:rsidR="007D7CC9" w:rsidRPr="009E5F8A" w:rsidRDefault="007D7CC9" w:rsidP="00BB33E3">
            <w:pPr>
              <w:rPr>
                <w:rFonts w:ascii="Aptos" w:hAnsi="Aptos"/>
                <w:lang w:val="fr-FR"/>
              </w:rPr>
            </w:pPr>
            <w:r w:rsidRPr="009E5F8A">
              <w:rPr>
                <w:rFonts w:ascii="Aptos" w:eastAsia="Arial" w:hAnsi="Aptos"/>
                <w:sz w:val="17"/>
                <w:lang w:val="fr-FR"/>
              </w:rPr>
              <w:t>16 – 38 (central ≈ 25)</w:t>
            </w:r>
          </w:p>
        </w:tc>
      </w:tr>
      <w:tr w:rsidR="007D7CC9" w:rsidRPr="009E5F8A" w14:paraId="4B2E8051" w14:textId="77777777" w:rsidTr="00BB33E3">
        <w:trPr>
          <w:jc w:val="center"/>
        </w:trPr>
        <w:tc>
          <w:tcPr>
            <w:tcW w:w="4819" w:type="dxa"/>
          </w:tcPr>
          <w:p w14:paraId="2AEA5EA1" w14:textId="77777777" w:rsidR="007D7CC9" w:rsidRPr="009E5F8A" w:rsidRDefault="007D7CC9" w:rsidP="00BB33E3">
            <w:pPr>
              <w:rPr>
                <w:rFonts w:ascii="Aptos" w:hAnsi="Aptos"/>
                <w:lang w:val="fr-FR"/>
              </w:rPr>
            </w:pPr>
            <w:r w:rsidRPr="009E5F8A">
              <w:rPr>
                <w:rFonts w:ascii="Aptos" w:eastAsia="Arial" w:hAnsi="Aptos"/>
                <w:sz w:val="17"/>
                <w:lang w:val="fr-FR"/>
              </w:rPr>
              <w:t>Transport (ordre de grandeur)</w:t>
            </w:r>
          </w:p>
        </w:tc>
        <w:tc>
          <w:tcPr>
            <w:tcW w:w="4819" w:type="dxa"/>
          </w:tcPr>
          <w:p w14:paraId="7C3CFFCE" w14:textId="77777777" w:rsidR="007D7CC9" w:rsidRPr="009E5F8A" w:rsidRDefault="007D7CC9" w:rsidP="00BB33E3">
            <w:pPr>
              <w:rPr>
                <w:rFonts w:ascii="Aptos" w:hAnsi="Aptos"/>
                <w:lang w:val="fr-FR"/>
              </w:rPr>
            </w:pPr>
            <w:r w:rsidRPr="009E5F8A">
              <w:rPr>
                <w:rFonts w:ascii="Aptos" w:eastAsia="Arial" w:hAnsi="Aptos"/>
                <w:sz w:val="17"/>
                <w:lang w:val="fr-FR"/>
              </w:rPr>
              <w:t>25 – 45</w:t>
            </w:r>
          </w:p>
        </w:tc>
      </w:tr>
      <w:tr w:rsidR="007D7CC9" w:rsidRPr="009E5F8A" w14:paraId="7E106121" w14:textId="77777777" w:rsidTr="00BB33E3">
        <w:trPr>
          <w:jc w:val="center"/>
        </w:trPr>
        <w:tc>
          <w:tcPr>
            <w:tcW w:w="4819" w:type="dxa"/>
          </w:tcPr>
          <w:p w14:paraId="51FD6E47" w14:textId="77777777" w:rsidR="007D7CC9" w:rsidRPr="009E5F8A" w:rsidRDefault="007D7CC9" w:rsidP="00BB33E3">
            <w:pPr>
              <w:rPr>
                <w:rFonts w:ascii="Aptos" w:hAnsi="Aptos"/>
                <w:lang w:val="fr-FR"/>
              </w:rPr>
            </w:pPr>
            <w:r w:rsidRPr="009E5F8A">
              <w:rPr>
                <w:rFonts w:ascii="Aptos" w:eastAsia="Arial" w:hAnsi="Aptos"/>
                <w:sz w:val="17"/>
                <w:lang w:val="fr-FR"/>
              </w:rPr>
              <w:t>Déchets + autres (ordre de grandeur)</w:t>
            </w:r>
          </w:p>
        </w:tc>
        <w:tc>
          <w:tcPr>
            <w:tcW w:w="4819" w:type="dxa"/>
          </w:tcPr>
          <w:p w14:paraId="027C853F" w14:textId="77777777" w:rsidR="007D7CC9" w:rsidRPr="009E5F8A" w:rsidRDefault="007D7CC9" w:rsidP="00BB33E3">
            <w:pPr>
              <w:rPr>
                <w:rFonts w:ascii="Aptos" w:hAnsi="Aptos"/>
                <w:lang w:val="fr-FR"/>
              </w:rPr>
            </w:pPr>
            <w:r w:rsidRPr="009E5F8A">
              <w:rPr>
                <w:rFonts w:ascii="Aptos" w:eastAsia="Arial" w:hAnsi="Aptos"/>
                <w:sz w:val="17"/>
                <w:lang w:val="fr-FR"/>
              </w:rPr>
              <w:t>10 – 25</w:t>
            </w:r>
          </w:p>
        </w:tc>
      </w:tr>
      <w:tr w:rsidR="007D7CC9" w:rsidRPr="009E5F8A" w14:paraId="48CA3018" w14:textId="77777777" w:rsidTr="00BB33E3">
        <w:trPr>
          <w:jc w:val="center"/>
        </w:trPr>
        <w:tc>
          <w:tcPr>
            <w:tcW w:w="4819" w:type="dxa"/>
          </w:tcPr>
          <w:p w14:paraId="556B2560" w14:textId="77777777" w:rsidR="007D7CC9" w:rsidRPr="009E5F8A" w:rsidRDefault="007D7CC9" w:rsidP="00BB33E3">
            <w:pPr>
              <w:rPr>
                <w:rFonts w:ascii="Aptos" w:hAnsi="Aptos"/>
                <w:lang w:val="fr-FR"/>
              </w:rPr>
            </w:pPr>
            <w:r w:rsidRPr="009E5F8A">
              <w:rPr>
                <w:rFonts w:ascii="Aptos" w:eastAsia="Arial" w:hAnsi="Aptos"/>
                <w:b/>
                <w:sz w:val="17"/>
                <w:lang w:val="fr-FR"/>
              </w:rPr>
              <w:t>Total indicatif agglomération</w:t>
            </w:r>
          </w:p>
        </w:tc>
        <w:tc>
          <w:tcPr>
            <w:tcW w:w="4819" w:type="dxa"/>
          </w:tcPr>
          <w:p w14:paraId="0A85C459" w14:textId="77777777" w:rsidR="007D7CC9" w:rsidRPr="009E5F8A" w:rsidRDefault="007D7CC9" w:rsidP="00BB33E3">
            <w:pPr>
              <w:rPr>
                <w:rFonts w:ascii="Aptos" w:hAnsi="Aptos"/>
                <w:lang w:val="fr-FR"/>
              </w:rPr>
            </w:pPr>
            <w:r w:rsidRPr="009E5F8A">
              <w:rPr>
                <w:rFonts w:ascii="Aptos" w:eastAsia="Arial" w:hAnsi="Aptos"/>
                <w:b/>
                <w:sz w:val="17"/>
                <w:lang w:val="fr-FR"/>
              </w:rPr>
              <w:t>≈ 100 – 180 MtCO₂e/an</w:t>
            </w:r>
          </w:p>
        </w:tc>
      </w:tr>
    </w:tbl>
    <w:p w14:paraId="0FA3F78A" w14:textId="77777777" w:rsidR="007D7CC9" w:rsidRPr="009E5F8A" w:rsidRDefault="007D7CC9" w:rsidP="007D7CC9">
      <w:pPr>
        <w:spacing w:before="40" w:after="120"/>
        <w:jc w:val="center"/>
        <w:rPr>
          <w:rFonts w:ascii="Aptos" w:hAnsi="Aptos"/>
          <w:lang w:val="fr-FR"/>
        </w:rPr>
      </w:pPr>
      <w:r w:rsidRPr="009E5F8A">
        <w:rPr>
          <w:rFonts w:ascii="Aptos" w:hAnsi="Aptos"/>
          <w:i/>
          <w:color w:val="3C3C3C"/>
          <w:sz w:val="17"/>
          <w:lang w:val="fr-FR"/>
        </w:rPr>
        <w:t>Fig. A3 – Bilan carbone total indicatif – Jakarta Agglomération (41,9 millions)</w:t>
      </w:r>
    </w:p>
    <w:p w14:paraId="205C3569" w14:textId="77777777" w:rsidR="007D7CC9" w:rsidRPr="009E5F8A" w:rsidRDefault="007D7CC9" w:rsidP="007D7CC9">
      <w:pPr>
        <w:spacing w:after="80"/>
        <w:jc w:val="both"/>
        <w:rPr>
          <w:rFonts w:ascii="Aptos" w:hAnsi="Aptos"/>
          <w:lang w:val="fr-FR"/>
        </w:rPr>
      </w:pPr>
      <w:r w:rsidRPr="009E5F8A">
        <w:rPr>
          <w:rFonts w:ascii="Aptos" w:hAnsi="Aptos"/>
          <w:sz w:val="19"/>
          <w:lang w:val="fr-FR"/>
        </w:rPr>
        <w:t>Ces chiffres sont volontairement présentés en fourchettes larges. Ils illustrent l’ampleur des émissions d’une giga-ville de près de 42 millions d’habitants et mettent en évidence le poids structurel de l’électricité et du froid.</w:t>
      </w:r>
    </w:p>
    <w:p w14:paraId="0C79D38A"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6. Interprétation pour la trajectoire Nusantara</w:t>
      </w:r>
    </w:p>
    <w:p w14:paraId="38B5192B" w14:textId="77777777" w:rsidR="007D7CC9" w:rsidRPr="009E5F8A" w:rsidRDefault="007D7CC9" w:rsidP="007D7CC9">
      <w:pPr>
        <w:spacing w:after="80"/>
        <w:jc w:val="both"/>
        <w:rPr>
          <w:rFonts w:ascii="Aptos" w:hAnsi="Aptos"/>
          <w:lang w:val="fr-FR"/>
        </w:rPr>
      </w:pPr>
      <w:r w:rsidRPr="009E5F8A">
        <w:rPr>
          <w:rFonts w:ascii="Aptos" w:hAnsi="Aptos"/>
          <w:sz w:val="19"/>
          <w:lang w:val="fr-FR"/>
        </w:rPr>
        <w:t>À l’échelle de l’agglomération, le seul poste « froid et climatisation » représente déjà plusieurs dizaines de millions de tonnes de CO₂e par an. Dans un modèle urbain fondé sur la climatisation individuelle à compression électrique et sur un réseau encore fortement carboné, ce poste est structurellement émetteur et contribue à l’îlot de chaleur.</w:t>
      </w:r>
    </w:p>
    <w:p w14:paraId="16935DC4" w14:textId="77777777" w:rsidR="007D7CC9" w:rsidRPr="009E5F8A" w:rsidRDefault="007D7CC9" w:rsidP="007D7CC9">
      <w:pPr>
        <w:spacing w:after="80"/>
        <w:jc w:val="both"/>
        <w:rPr>
          <w:rFonts w:ascii="Aptos" w:hAnsi="Aptos"/>
          <w:lang w:val="fr-FR"/>
        </w:rPr>
      </w:pPr>
      <w:r w:rsidRPr="009E5F8A">
        <w:rPr>
          <w:rFonts w:ascii="Aptos" w:hAnsi="Aptos"/>
          <w:sz w:val="19"/>
          <w:lang w:val="fr-FR"/>
        </w:rPr>
        <w:t>L’intérêt d’une capitale nouvelle conçue autour de réseaux de froid plus efficaces (District Cooling, sources de froid à plus haut rendement, éventuellement partiellement découplées de l’air ambiant) réside dans la possibilité de :</w:t>
      </w:r>
    </w:p>
    <w:p w14:paraId="2E80E532"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Réduire fortement la consommation électrique spécifique par unité de froid livré.</w:t>
      </w:r>
    </w:p>
    <w:p w14:paraId="21E58376"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Éliminer ou fortement limiter le rejet de chaleur dans l’espace public.</w:t>
      </w:r>
    </w:p>
    <w:p w14:paraId="7CF1069A"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Préparer l’intégration progressive de sources d’électricité bas-carbone.</w:t>
      </w:r>
    </w:p>
    <w:p w14:paraId="45973FC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Obtenir, sur 50 ans, une baisse simultanée du coût du froid et des émissions associées.</w:t>
      </w:r>
    </w:p>
    <w:p w14:paraId="567581B0" w14:textId="77777777" w:rsidR="007D7CC9" w:rsidRPr="009E5F8A" w:rsidRDefault="007D7CC9" w:rsidP="007D7CC9">
      <w:pPr>
        <w:spacing w:after="80"/>
        <w:jc w:val="both"/>
        <w:rPr>
          <w:rFonts w:ascii="Aptos" w:hAnsi="Aptos"/>
          <w:lang w:val="fr-FR"/>
        </w:rPr>
      </w:pPr>
      <w:r w:rsidRPr="009E5F8A">
        <w:rPr>
          <w:rFonts w:ascii="Aptos" w:hAnsi="Aptos"/>
          <w:sz w:val="19"/>
          <w:lang w:val="fr-FR"/>
        </w:rPr>
        <w:t>La présente Annexe A fournit la photographie de départ à l’échelle de l’agglomération. L’Annexe B (Bilan énergétique de la création de froid) détaillera les mécanismes techniques et la pénalité d’efficacité.</w:t>
      </w:r>
    </w:p>
    <w:p w14:paraId="74FD2E14"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7. Limites et précautions</w:t>
      </w:r>
    </w:p>
    <w:p w14:paraId="2FDD99BF" w14:textId="77777777" w:rsidR="007D7CC9" w:rsidRPr="009E5F8A" w:rsidRDefault="007D7CC9" w:rsidP="007D7CC9">
      <w:pPr>
        <w:spacing w:after="80"/>
        <w:jc w:val="both"/>
        <w:rPr>
          <w:rFonts w:ascii="Aptos" w:hAnsi="Aptos"/>
          <w:lang w:val="fr-FR"/>
        </w:rPr>
      </w:pPr>
      <w:r w:rsidRPr="009E5F8A">
        <w:rPr>
          <w:rFonts w:ascii="Aptos" w:hAnsi="Aptos"/>
          <w:sz w:val="19"/>
          <w:lang w:val="fr-FR"/>
        </w:rPr>
        <w:t>Les chiffres présentés sont des estimations encadrées par des hypothèses explicites. Ils ne constituent pas un inventaire officiel d’émissions de l’agglomération de Jakarta. Un inventaire précis nécessiterait des données de consommation électrique géoréférencées à l’échelle Jabodetabek, des facteurs d’émission actualisés du système Java-Bali, et une désagrégation fine des usages finaux. Les valeurs ci-dessus restent néanmoins suffisantes pour servir de base de comparaison relative dans le cadre de ce dossier.</w:t>
      </w:r>
    </w:p>
    <w:p w14:paraId="635FFE30"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8. Références URL</w:t>
      </w:r>
    </w:p>
    <w:p w14:paraId="74A7746A"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Population Greater Jakarta ≈ 41,9 millions : https://en.wikipedia.org/wiki/Jakarta (section Population – Metro) et rapports Nations Unies 2025.</w:t>
      </w:r>
    </w:p>
    <w:p w14:paraId="572A05CF"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Handbook of Energy and Economic Statistics of Indonesia 2024 (ESDM) : https://www.esdm.go.id/assets/media/content/content-handbook-of-energy-and-economic-statistics-of-indonesia-2024.pdf</w:t>
      </w:r>
    </w:p>
    <w:p w14:paraId="022DC76C"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Ember – Indonesia electricity demand and generation data : https://ember-energy.org/</w:t>
      </w:r>
    </w:p>
    <w:p w14:paraId="314818F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IEA – Electricity mid-year updates et analyses sur la demande de climatisation : https://www.iea.org/reports/electricity-mid-year-update-2025/demand-global-electricity-use-to-grow-strongly-in-2025-and-2026</w:t>
      </w:r>
    </w:p>
    <w:p w14:paraId="35F2349E"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IEA – Air conditioning as driver of electricity demand : https://www.iea.org/news/air-conditioning-use-emerges-as-one-of-the-key-drivers-of-global-electricity-demand-growth</w:t>
      </w:r>
    </w:p>
    <w:p w14:paraId="27D9521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LBNL – Accelerating the Transition to More Energy Efficient Air Conditioners in Indonesia : https://eta-publications.lbl.gov/sites/default/files/lbnl_report_indonesia_acs_2020_rev_0.pdf</w:t>
      </w:r>
    </w:p>
    <w:p w14:paraId="572E004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Indonesia Energy Transition Outlook (IESR) : https://iesr.or.id/</w:t>
      </w:r>
    </w:p>
    <w:p w14:paraId="1ACDCD82"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C40 Cities – méthodologies d’inventaires d’émissions urbaines (référence de structure des bilans villes).</w:t>
      </w:r>
    </w:p>
    <w:p w14:paraId="6451B7A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Document principal « Transparence économique de Jakarta Agglomération 2026 » (même dossier).</w:t>
      </w:r>
    </w:p>
    <w:p w14:paraId="2DFFBA84" w14:textId="77777777" w:rsidR="007D7CC9" w:rsidRPr="009E5F8A" w:rsidRDefault="007D7CC9" w:rsidP="007D7CC9">
      <w:pPr>
        <w:jc w:val="center"/>
        <w:rPr>
          <w:rFonts w:ascii="Aptos" w:hAnsi="Aptos"/>
          <w:lang w:val="fr-FR"/>
        </w:rPr>
      </w:pPr>
      <w:r w:rsidRPr="009E5F8A">
        <w:rPr>
          <w:rFonts w:ascii="Aptos" w:hAnsi="Aptos"/>
          <w:i/>
          <w:color w:val="546E7A"/>
          <w:sz w:val="18"/>
          <w:lang w:val="fr-FR"/>
        </w:rPr>
        <w:lastRenderedPageBreak/>
        <w:t>— Fin de l’Annexe A – Bilan carbone total Jakarta Agglomération —</w:t>
      </w:r>
    </w:p>
    <w:p w14:paraId="46A337EA" w14:textId="77777777" w:rsidR="007D7CC9" w:rsidRPr="009E5F8A" w:rsidRDefault="007D7CC9" w:rsidP="007D7CC9">
      <w:pPr>
        <w:rPr>
          <w:rFonts w:ascii="Aptos" w:hAnsi="Aptos"/>
          <w:lang w:val="fr-FR"/>
        </w:rPr>
        <w:sectPr w:rsidR="007D7CC9" w:rsidRPr="009E5F8A" w:rsidSect="007D7CC9">
          <w:headerReference w:type="default" r:id="rId21"/>
          <w:pgSz w:w="12240" w:h="15840"/>
          <w:pgMar w:top="907" w:right="1020" w:bottom="907" w:left="1020" w:header="388" w:footer="720" w:gutter="0"/>
          <w:cols w:space="720"/>
          <w:docGrid w:linePitch="360"/>
        </w:sectPr>
      </w:pPr>
    </w:p>
    <w:p w14:paraId="7EA4DD4D" w14:textId="77777777" w:rsidR="007D7CC9" w:rsidRPr="009E5F8A" w:rsidRDefault="007D7CC9" w:rsidP="007D7CC9">
      <w:pPr>
        <w:pStyle w:val="Heading3"/>
        <w:rPr>
          <w:rFonts w:ascii="Aptos" w:hAnsi="Aptos"/>
          <w:lang w:val="fr-FR"/>
        </w:rPr>
      </w:pPr>
      <w:bookmarkStart w:id="132" w:name="_Toc236489341"/>
      <w:bookmarkStart w:id="133" w:name="_Toc236489420"/>
      <w:r w:rsidRPr="009E5F8A">
        <w:rPr>
          <w:rFonts w:ascii="Aptos" w:hAnsi="Aptos"/>
          <w:sz w:val="30"/>
          <w:lang w:val="fr-FR"/>
        </w:rPr>
        <w:lastRenderedPageBreak/>
        <w:t>ANNEXE B</w:t>
      </w:r>
      <w:bookmarkEnd w:id="132"/>
      <w:bookmarkEnd w:id="133"/>
    </w:p>
    <w:p w14:paraId="15CAD640" w14:textId="77777777" w:rsidR="007D7CC9" w:rsidRPr="009E5F8A" w:rsidRDefault="007D7CC9" w:rsidP="007D7CC9">
      <w:pPr>
        <w:jc w:val="center"/>
        <w:rPr>
          <w:rFonts w:ascii="Aptos" w:hAnsi="Aptos"/>
          <w:lang w:val="fr-FR"/>
        </w:rPr>
      </w:pPr>
      <w:r w:rsidRPr="009E5F8A">
        <w:rPr>
          <w:rFonts w:ascii="Aptos" w:hAnsi="Aptos"/>
          <w:b/>
          <w:color w:val="1B6B4A"/>
          <w:sz w:val="24"/>
          <w:lang w:val="fr-FR"/>
        </w:rPr>
        <w:t>Bilan énergétique de la création de froid</w:t>
      </w:r>
    </w:p>
    <w:p w14:paraId="218A11B8" w14:textId="77777777" w:rsidR="007D7CC9" w:rsidRPr="009E5F8A" w:rsidRDefault="007D7CC9" w:rsidP="007D7CC9">
      <w:pPr>
        <w:jc w:val="center"/>
        <w:rPr>
          <w:rFonts w:ascii="Aptos" w:hAnsi="Aptos"/>
          <w:lang w:val="fr-FR"/>
        </w:rPr>
      </w:pPr>
      <w:r w:rsidRPr="009E5F8A">
        <w:rPr>
          <w:rFonts w:ascii="Aptos" w:hAnsi="Aptos"/>
          <w:b/>
          <w:color w:val="B41E1E"/>
          <w:sz w:val="21"/>
          <w:lang w:val="fr-FR"/>
        </w:rPr>
        <w:t>Pour l’ensemble de l’agglomération de Jakarta (41,9 millions d’habitants)</w:t>
      </w:r>
    </w:p>
    <w:p w14:paraId="48D689B9" w14:textId="77777777" w:rsidR="007D7CC9" w:rsidRPr="009E5F8A" w:rsidRDefault="007D7CC9" w:rsidP="007D7CC9">
      <w:pPr>
        <w:jc w:val="center"/>
        <w:rPr>
          <w:rFonts w:ascii="Aptos" w:hAnsi="Aptos"/>
          <w:lang w:val="fr-FR"/>
        </w:rPr>
      </w:pPr>
      <w:r w:rsidRPr="009E5F8A">
        <w:rPr>
          <w:rFonts w:ascii="Aptos" w:hAnsi="Aptos"/>
          <w:i/>
          <w:sz w:val="18"/>
          <w:lang w:val="fr-FR"/>
        </w:rPr>
        <w:t>Niveaux de froid • Énergie nécessaire • Pénalité d’efficacité • Effet point chaud</w:t>
      </w:r>
      <w:r w:rsidRPr="009E5F8A">
        <w:rPr>
          <w:rFonts w:ascii="Aptos" w:hAnsi="Aptos"/>
          <w:i/>
          <w:sz w:val="18"/>
          <w:lang w:val="fr-FR"/>
        </w:rPr>
        <w:br/>
        <w:t>Annexe au document « Transparence économique de Jakarta Agglomération 2026 »</w:t>
      </w:r>
      <w:r w:rsidRPr="009E5F8A">
        <w:rPr>
          <w:rFonts w:ascii="Aptos" w:hAnsi="Aptos"/>
          <w:i/>
          <w:sz w:val="18"/>
          <w:lang w:val="fr-FR"/>
        </w:rPr>
        <w:br/>
        <w:t>Sous direction de François Dorléans – Juillet 2026</w:t>
      </w:r>
    </w:p>
    <w:p w14:paraId="696E5BCA"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1. Objectif et périmètre</w:t>
      </w:r>
    </w:p>
    <w:p w14:paraId="49C44F91" w14:textId="77777777" w:rsidR="007D7CC9" w:rsidRPr="009E5F8A" w:rsidRDefault="007D7CC9" w:rsidP="007D7CC9">
      <w:pPr>
        <w:spacing w:after="80"/>
        <w:jc w:val="both"/>
        <w:rPr>
          <w:rFonts w:ascii="Aptos" w:hAnsi="Aptos"/>
          <w:lang w:val="fr-FR"/>
        </w:rPr>
      </w:pPr>
      <w:r w:rsidRPr="009E5F8A">
        <w:rPr>
          <w:rFonts w:ascii="Aptos" w:hAnsi="Aptos"/>
          <w:sz w:val="19"/>
          <w:lang w:val="fr-FR"/>
        </w:rPr>
        <w:t>Cette Annexe B décrit comment le froid est produit aujourd’hui à l’échelle de l’agglomération de Jakarta (Greater Jakarta / Jabodetabek, ≈ 41,9 millions d’habitants). Elle quantifie les niveaux de froid, l’énergie électrique nécessaire pour le produire, la pénalité d’efficacité des systèmes actuels et l’effet point chaud (rejet de chaleur dans les rues et zones industrielles).</w:t>
      </w:r>
    </w:p>
    <w:p w14:paraId="0B2D38D5" w14:textId="77777777" w:rsidR="007D7CC9" w:rsidRPr="009E5F8A" w:rsidRDefault="007D7CC9" w:rsidP="007D7CC9">
      <w:pPr>
        <w:spacing w:after="80"/>
        <w:jc w:val="both"/>
        <w:rPr>
          <w:rFonts w:ascii="Aptos" w:hAnsi="Aptos"/>
          <w:lang w:val="fr-FR"/>
        </w:rPr>
      </w:pPr>
      <w:r w:rsidRPr="009E5F8A">
        <w:rPr>
          <w:rFonts w:ascii="Aptos" w:hAnsi="Aptos"/>
          <w:sz w:val="19"/>
          <w:lang w:val="fr-FR"/>
        </w:rPr>
        <w:t>Elle constitue la photographie technologique de départ pour la comparaison ultérieure avec les solutions de production de froid envisagées pour Nusantara.</w:t>
      </w:r>
    </w:p>
    <w:p w14:paraId="60E9FDF9"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2. Liste complète des hypothèses</w:t>
      </w:r>
    </w:p>
    <w:p w14:paraId="0BC114F3"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Population de l’agglomération : 41,9 millions d’habitants.</w:t>
      </w:r>
    </w:p>
    <w:p w14:paraId="094D5971"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Consommation électrique de l’agglomération : 90 – 120 TWh/an (valeur centrale 105 TWh/an) – cohérente avec l’Annexe A.</w:t>
      </w:r>
    </w:p>
    <w:p w14:paraId="776CE923"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Part du froid / climatisation dans la consommation électrique : 25 – 35 % (hypothèse centrale 30 %).</w:t>
      </w:r>
    </w:p>
    <w:p w14:paraId="2838E08C"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COP réel moyen des systèmes air-air en climat tropical et conditions urbaines denses : 2,2 – 3,2 (valeur centrale 2,7). Les COP de plaque sont souvent plus élevés, mais les conditions réelles (température d’air élevée autour des condenseurs, encrassement, mauvaise ventilation) dégradent fortement le rendement.</w:t>
      </w:r>
    </w:p>
    <w:p w14:paraId="290B25DD"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Pour chaque kWh de froid produit, la chaleur rejetée à l’extérieur est d’environ 1,3 à 1,5 kWh (selon le COP).</w:t>
      </w:r>
    </w:p>
    <w:p w14:paraId="2BB8624F"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La quasi-totalité du froid de confort et la grande majorité du froid industriel léger sont produits par des cycles à compression de vapeur électriques.</w:t>
      </w:r>
    </w:p>
    <w:p w14:paraId="5BA02E1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La cryogénie (températures très basses) existe en niches (médical, industrie spécialisée) mais n’est pas structurante à l’échelle de l’agglomération. Le « grand froid » pertinent est la réfrigération classique (0 °C à –40 °C) et la production de glace.</w:t>
      </w:r>
    </w:p>
    <w:p w14:paraId="2B1412F3"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Les valeurs sont des ordres de grandeur encadrés, destinés à la comparaison relative avec Nusantara.</w:t>
      </w:r>
    </w:p>
    <w:p w14:paraId="3C27C6C6"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3. Technologies dominantes de production de froid</w:t>
      </w:r>
    </w:p>
    <w:p w14:paraId="5D01733E" w14:textId="77777777" w:rsidR="007D7CC9" w:rsidRPr="009E5F8A" w:rsidRDefault="007D7CC9" w:rsidP="007D7CC9">
      <w:pPr>
        <w:spacing w:after="80"/>
        <w:jc w:val="both"/>
        <w:rPr>
          <w:rFonts w:ascii="Aptos" w:hAnsi="Aptos"/>
          <w:lang w:val="fr-FR"/>
        </w:rPr>
      </w:pPr>
      <w:r w:rsidRPr="009E5F8A">
        <w:rPr>
          <w:rFonts w:ascii="Aptos" w:hAnsi="Aptos"/>
          <w:sz w:val="19"/>
          <w:lang w:val="fr-FR"/>
        </w:rPr>
        <w:t>À l’échelle de l’agglomération de Jakarta, le froid est produit quasi exclusivement par des systèmes à compression de vapeur alimentés à l’électricité :</w:t>
      </w:r>
    </w:p>
    <w:p w14:paraId="1BAEFF2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Climatiseurs individuels de type split (air-air) – dominant dans le résidentiel et une grande partie du tertiaire.</w:t>
      </w:r>
    </w:p>
    <w:p w14:paraId="237EFE51"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Groupes d’eau glacée ou systèmes semi-centralisés – immeubles de bureaux, centres commerciaux, certains bâtiments publics.</w:t>
      </w:r>
    </w:p>
    <w:p w14:paraId="59EF3507"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Installations de production de glace et chambres froides – restauration, marchés, chaîne alimentaire, hôtels.</w:t>
      </w:r>
    </w:p>
    <w:p w14:paraId="48D231F2" w14:textId="77777777" w:rsidR="007D7CC9" w:rsidRPr="009E5F8A" w:rsidRDefault="007D7CC9" w:rsidP="007D7CC9">
      <w:pPr>
        <w:spacing w:after="80"/>
        <w:jc w:val="both"/>
        <w:rPr>
          <w:rFonts w:ascii="Aptos" w:hAnsi="Aptos"/>
          <w:lang w:val="fr-FR"/>
        </w:rPr>
      </w:pPr>
      <w:r w:rsidRPr="009E5F8A">
        <w:rPr>
          <w:rFonts w:ascii="Aptos" w:hAnsi="Aptos"/>
          <w:sz w:val="19"/>
          <w:lang w:val="fr-FR"/>
        </w:rPr>
        <w:t>Ces systèmes rejettent la chaleur (chaleur extraite + équivalent de l’énergie électrique consommée) directement dans l’air extérieur via des condenseurs air-air, très souvent placés dans des rues, cours d’immeubles ou zones industrielles mal ventilées.</w:t>
      </w:r>
    </w:p>
    <w:p w14:paraId="42D2FA0A"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4. Niveaux de froid – Ordres de grandeur pour l’agglomération</w:t>
      </w:r>
    </w:p>
    <w:p w14:paraId="32CF2567" w14:textId="77777777" w:rsidR="007D7CC9" w:rsidRPr="009E5F8A" w:rsidRDefault="007D7CC9" w:rsidP="007D7CC9">
      <w:pPr>
        <w:pStyle w:val="Heading5"/>
        <w:rPr>
          <w:rFonts w:ascii="Aptos" w:hAnsi="Aptos"/>
          <w:lang w:val="fr-FR"/>
        </w:rPr>
      </w:pPr>
      <w:r w:rsidRPr="009E5F8A">
        <w:rPr>
          <w:rFonts w:ascii="Aptos" w:hAnsi="Aptos"/>
          <w:b/>
          <w:color w:val="1B6B4A"/>
          <w:sz w:val="22"/>
          <w:lang w:val="fr-FR"/>
        </w:rPr>
        <w:t>4.1 Froid de confort (climatisation)</w:t>
      </w:r>
    </w:p>
    <w:p w14:paraId="4FDABD1B" w14:textId="77777777" w:rsidR="007D7CC9" w:rsidRPr="009E5F8A" w:rsidRDefault="007D7CC9" w:rsidP="007D7CC9">
      <w:pPr>
        <w:spacing w:after="80"/>
        <w:jc w:val="both"/>
        <w:rPr>
          <w:rFonts w:ascii="Aptos" w:hAnsi="Aptos"/>
          <w:lang w:val="fr-FR"/>
        </w:rPr>
      </w:pPr>
      <w:r w:rsidRPr="009E5F8A">
        <w:rPr>
          <w:rFonts w:ascii="Aptos" w:hAnsi="Aptos"/>
          <w:sz w:val="19"/>
          <w:lang w:val="fr-FR"/>
        </w:rPr>
        <w:t>En retenant 30 % de la consommation électrique dédiée au froid et un COP central de 2,7 :</w:t>
      </w:r>
    </w:p>
    <w:p w14:paraId="159582BD" w14:textId="77777777" w:rsidR="007D7CC9" w:rsidRPr="009E5F8A" w:rsidRDefault="007D7CC9" w:rsidP="007D7CC9">
      <w:pPr>
        <w:spacing w:after="80"/>
        <w:jc w:val="both"/>
        <w:rPr>
          <w:rFonts w:ascii="Aptos" w:hAnsi="Aptos"/>
          <w:lang w:val="fr-FR"/>
        </w:rPr>
      </w:pPr>
      <w:r w:rsidRPr="009E5F8A">
        <w:rPr>
          <w:rFonts w:ascii="Aptos" w:hAnsi="Aptos"/>
          <w:sz w:val="19"/>
          <w:lang w:val="fr-FR"/>
        </w:rPr>
        <w:t>Électricité pour le froid ≈ 0,30 × 105 TWh = 31,5 TWh/an</w:t>
      </w:r>
    </w:p>
    <w:p w14:paraId="23C53C8B" w14:textId="77777777" w:rsidR="007D7CC9" w:rsidRPr="009E5F8A" w:rsidRDefault="007D7CC9" w:rsidP="007D7CC9">
      <w:pPr>
        <w:spacing w:after="80"/>
        <w:jc w:val="both"/>
        <w:rPr>
          <w:rFonts w:ascii="Aptos" w:hAnsi="Aptos"/>
          <w:lang w:val="fr-FR"/>
        </w:rPr>
      </w:pPr>
      <w:r w:rsidRPr="009E5F8A">
        <w:rPr>
          <w:rFonts w:ascii="Aptos" w:hAnsi="Aptos"/>
          <w:b/>
          <w:sz w:val="19"/>
          <w:lang w:val="fr-FR"/>
        </w:rPr>
        <w:t>Froid produit ≈ 31,5 TWh × 2,7 ≈ 85 TWh thermiques par an.</w:t>
      </w:r>
    </w:p>
    <w:p w14:paraId="60B05698" w14:textId="77777777" w:rsidR="007D7CC9" w:rsidRPr="009E5F8A" w:rsidRDefault="007D7CC9" w:rsidP="007D7CC9">
      <w:pPr>
        <w:spacing w:after="80"/>
        <w:jc w:val="both"/>
        <w:rPr>
          <w:rFonts w:ascii="Aptos" w:hAnsi="Aptos"/>
          <w:lang w:val="fr-FR"/>
        </w:rPr>
      </w:pPr>
      <w:r w:rsidRPr="009E5F8A">
        <w:rPr>
          <w:rFonts w:ascii="Aptos" w:hAnsi="Aptos"/>
          <w:sz w:val="19"/>
          <w:lang w:val="fr-FR"/>
        </w:rPr>
        <w:t>Répartition indicative du froid de confort :</w:t>
      </w:r>
    </w:p>
    <w:p w14:paraId="67F6E49A"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Climatisation résidentielle (immeubles d’habitation) : 40 – 50 % du froid total</w:t>
      </w:r>
    </w:p>
    <w:p w14:paraId="05ACCA8E"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Climatisation services publics, tertiaire et commercial : 30 – 40 %</w:t>
      </w:r>
    </w:p>
    <w:p w14:paraId="50E35E8F" w14:textId="77777777" w:rsidR="007D7CC9" w:rsidRPr="009E5F8A" w:rsidRDefault="007D7CC9" w:rsidP="007D7CC9">
      <w:pPr>
        <w:pStyle w:val="Heading5"/>
        <w:rPr>
          <w:rFonts w:ascii="Aptos" w:hAnsi="Aptos"/>
          <w:lang w:val="fr-FR"/>
        </w:rPr>
      </w:pPr>
      <w:r w:rsidRPr="009E5F8A">
        <w:rPr>
          <w:rFonts w:ascii="Aptos" w:hAnsi="Aptos"/>
          <w:b/>
          <w:color w:val="1B6B4A"/>
          <w:sz w:val="22"/>
          <w:lang w:val="fr-FR"/>
        </w:rPr>
        <w:t>4.2 Froid industriel et production de glace</w:t>
      </w:r>
    </w:p>
    <w:p w14:paraId="3DAF7DE6" w14:textId="77777777" w:rsidR="007D7CC9" w:rsidRPr="009E5F8A" w:rsidRDefault="007D7CC9" w:rsidP="007D7CC9">
      <w:pPr>
        <w:spacing w:after="80"/>
        <w:jc w:val="both"/>
        <w:rPr>
          <w:rFonts w:ascii="Aptos" w:hAnsi="Aptos"/>
          <w:lang w:val="fr-FR"/>
        </w:rPr>
      </w:pPr>
      <w:r w:rsidRPr="009E5F8A">
        <w:rPr>
          <w:rFonts w:ascii="Aptos" w:hAnsi="Aptos"/>
          <w:sz w:val="19"/>
          <w:lang w:val="fr-FR"/>
        </w:rPr>
        <w:lastRenderedPageBreak/>
        <w:t>Le froid industriel léger et la production de glace pour la restauration, les marchés et la chaîne alimentaire représentent typiquement 15 à 25 % du froid total urbain dans une grande métropole tropicale.</w:t>
      </w:r>
    </w:p>
    <w:p w14:paraId="107DB441" w14:textId="77777777" w:rsidR="007D7CC9" w:rsidRPr="009E5F8A" w:rsidRDefault="007D7CC9" w:rsidP="007D7CC9">
      <w:pPr>
        <w:spacing w:after="80"/>
        <w:jc w:val="both"/>
        <w:rPr>
          <w:rFonts w:ascii="Aptos" w:hAnsi="Aptos"/>
          <w:lang w:val="fr-FR"/>
        </w:rPr>
      </w:pPr>
      <w:r w:rsidRPr="009E5F8A">
        <w:rPr>
          <w:rFonts w:ascii="Aptos" w:hAnsi="Aptos"/>
          <w:sz w:val="19"/>
          <w:lang w:val="fr-FR"/>
        </w:rPr>
        <w:t>Ordre de grandeur pour l’agglomération : plusieurs TWh thermiques par an (typiquement 15 – 25 TWh thermiques selon les hypothèses). Il s’agit de réfrigération classique et de production de glace, non de cryogénie à grande échelle.</w:t>
      </w:r>
    </w:p>
    <w:tbl>
      <w:tblPr>
        <w:tblStyle w:val="TableGrid"/>
        <w:tblW w:w="0" w:type="auto"/>
        <w:jc w:val="center"/>
        <w:tblLook w:val="04A0" w:firstRow="1" w:lastRow="0" w:firstColumn="1" w:lastColumn="0" w:noHBand="0" w:noVBand="1"/>
      </w:tblPr>
      <w:tblGrid>
        <w:gridCol w:w="4819"/>
        <w:gridCol w:w="4819"/>
      </w:tblGrid>
      <w:tr w:rsidR="007D7CC9" w:rsidRPr="009E5F8A" w14:paraId="310E16F2" w14:textId="77777777" w:rsidTr="00BB33E3">
        <w:trPr>
          <w:jc w:val="center"/>
        </w:trPr>
        <w:tc>
          <w:tcPr>
            <w:tcW w:w="4819" w:type="dxa"/>
          </w:tcPr>
          <w:p w14:paraId="4178D0F8" w14:textId="77777777" w:rsidR="007D7CC9" w:rsidRPr="009E5F8A" w:rsidRDefault="007D7CC9" w:rsidP="00BB33E3">
            <w:pPr>
              <w:rPr>
                <w:rFonts w:ascii="Aptos" w:hAnsi="Aptos"/>
                <w:lang w:val="fr-FR"/>
              </w:rPr>
            </w:pPr>
            <w:r w:rsidRPr="009E5F8A">
              <w:rPr>
                <w:rFonts w:ascii="Aptos" w:eastAsia="Arial" w:hAnsi="Aptos"/>
                <w:b/>
                <w:sz w:val="17"/>
                <w:lang w:val="fr-FR"/>
              </w:rPr>
              <w:t>Type de froid</w:t>
            </w:r>
          </w:p>
        </w:tc>
        <w:tc>
          <w:tcPr>
            <w:tcW w:w="4819" w:type="dxa"/>
          </w:tcPr>
          <w:p w14:paraId="52F58C24" w14:textId="77777777" w:rsidR="007D7CC9" w:rsidRPr="009E5F8A" w:rsidRDefault="007D7CC9" w:rsidP="00BB33E3">
            <w:pPr>
              <w:rPr>
                <w:rFonts w:ascii="Aptos" w:hAnsi="Aptos"/>
                <w:lang w:val="fr-FR"/>
              </w:rPr>
            </w:pPr>
            <w:r w:rsidRPr="009E5F8A">
              <w:rPr>
                <w:rFonts w:ascii="Aptos" w:eastAsia="Arial" w:hAnsi="Aptos"/>
                <w:b/>
                <w:sz w:val="17"/>
                <w:lang w:val="fr-FR"/>
              </w:rPr>
              <w:t>Ordre de grandeur (TWh thermiques / an)</w:t>
            </w:r>
          </w:p>
        </w:tc>
      </w:tr>
      <w:tr w:rsidR="007D7CC9" w:rsidRPr="009E5F8A" w14:paraId="555FBF71" w14:textId="77777777" w:rsidTr="00BB33E3">
        <w:trPr>
          <w:jc w:val="center"/>
        </w:trPr>
        <w:tc>
          <w:tcPr>
            <w:tcW w:w="4819" w:type="dxa"/>
          </w:tcPr>
          <w:p w14:paraId="049321E7" w14:textId="77777777" w:rsidR="007D7CC9" w:rsidRPr="009E5F8A" w:rsidRDefault="007D7CC9" w:rsidP="00BB33E3">
            <w:pPr>
              <w:rPr>
                <w:rFonts w:ascii="Aptos" w:hAnsi="Aptos"/>
                <w:lang w:val="fr-FR"/>
              </w:rPr>
            </w:pPr>
            <w:r w:rsidRPr="009E5F8A">
              <w:rPr>
                <w:rFonts w:ascii="Aptos" w:eastAsia="Arial" w:hAnsi="Aptos"/>
                <w:sz w:val="17"/>
                <w:lang w:val="fr-FR"/>
              </w:rPr>
              <w:t>Froid de confort total (central)</w:t>
            </w:r>
          </w:p>
        </w:tc>
        <w:tc>
          <w:tcPr>
            <w:tcW w:w="4819" w:type="dxa"/>
          </w:tcPr>
          <w:p w14:paraId="1B88422F" w14:textId="77777777" w:rsidR="007D7CC9" w:rsidRPr="009E5F8A" w:rsidRDefault="007D7CC9" w:rsidP="00BB33E3">
            <w:pPr>
              <w:rPr>
                <w:rFonts w:ascii="Aptos" w:hAnsi="Aptos"/>
                <w:lang w:val="fr-FR"/>
              </w:rPr>
            </w:pPr>
            <w:r w:rsidRPr="009E5F8A">
              <w:rPr>
                <w:rFonts w:ascii="Aptos" w:eastAsia="Arial" w:hAnsi="Aptos"/>
                <w:sz w:val="17"/>
                <w:lang w:val="fr-FR"/>
              </w:rPr>
              <w:t>≈ 85</w:t>
            </w:r>
          </w:p>
        </w:tc>
      </w:tr>
      <w:tr w:rsidR="007D7CC9" w:rsidRPr="009E5F8A" w14:paraId="30DDD103" w14:textId="77777777" w:rsidTr="00BB33E3">
        <w:trPr>
          <w:jc w:val="center"/>
        </w:trPr>
        <w:tc>
          <w:tcPr>
            <w:tcW w:w="4819" w:type="dxa"/>
          </w:tcPr>
          <w:p w14:paraId="55403EFF" w14:textId="77777777" w:rsidR="007D7CC9" w:rsidRPr="009E5F8A" w:rsidRDefault="007D7CC9" w:rsidP="00BB33E3">
            <w:pPr>
              <w:rPr>
                <w:rFonts w:ascii="Aptos" w:hAnsi="Aptos"/>
                <w:lang w:val="fr-FR"/>
              </w:rPr>
            </w:pPr>
            <w:r w:rsidRPr="009E5F8A">
              <w:rPr>
                <w:rFonts w:ascii="Aptos" w:eastAsia="Arial" w:hAnsi="Aptos"/>
                <w:sz w:val="17"/>
                <w:lang w:val="fr-FR"/>
              </w:rPr>
              <w:t>dont Résidentiel</w:t>
            </w:r>
          </w:p>
        </w:tc>
        <w:tc>
          <w:tcPr>
            <w:tcW w:w="4819" w:type="dxa"/>
          </w:tcPr>
          <w:p w14:paraId="1CBD9A86" w14:textId="77777777" w:rsidR="007D7CC9" w:rsidRPr="009E5F8A" w:rsidRDefault="007D7CC9" w:rsidP="00BB33E3">
            <w:pPr>
              <w:rPr>
                <w:rFonts w:ascii="Aptos" w:hAnsi="Aptos"/>
                <w:lang w:val="fr-FR"/>
              </w:rPr>
            </w:pPr>
            <w:r w:rsidRPr="009E5F8A">
              <w:rPr>
                <w:rFonts w:ascii="Aptos" w:eastAsia="Arial" w:hAnsi="Aptos"/>
                <w:sz w:val="17"/>
                <w:lang w:val="fr-FR"/>
              </w:rPr>
              <w:t>≈ 35 – 45</w:t>
            </w:r>
          </w:p>
        </w:tc>
      </w:tr>
      <w:tr w:rsidR="007D7CC9" w:rsidRPr="009E5F8A" w14:paraId="40D4AC3A" w14:textId="77777777" w:rsidTr="00BB33E3">
        <w:trPr>
          <w:jc w:val="center"/>
        </w:trPr>
        <w:tc>
          <w:tcPr>
            <w:tcW w:w="4819" w:type="dxa"/>
          </w:tcPr>
          <w:p w14:paraId="48A81AC2" w14:textId="77777777" w:rsidR="007D7CC9" w:rsidRPr="009E5F8A" w:rsidRDefault="007D7CC9" w:rsidP="00BB33E3">
            <w:pPr>
              <w:rPr>
                <w:rFonts w:ascii="Aptos" w:hAnsi="Aptos"/>
                <w:lang w:val="fr-FR"/>
              </w:rPr>
            </w:pPr>
            <w:r w:rsidRPr="009E5F8A">
              <w:rPr>
                <w:rFonts w:ascii="Aptos" w:eastAsia="Arial" w:hAnsi="Aptos"/>
                <w:sz w:val="17"/>
                <w:lang w:val="fr-FR"/>
              </w:rPr>
              <w:t>dont Services publics / tertiaire</w:t>
            </w:r>
          </w:p>
        </w:tc>
        <w:tc>
          <w:tcPr>
            <w:tcW w:w="4819" w:type="dxa"/>
          </w:tcPr>
          <w:p w14:paraId="741766EE" w14:textId="77777777" w:rsidR="007D7CC9" w:rsidRPr="009E5F8A" w:rsidRDefault="007D7CC9" w:rsidP="00BB33E3">
            <w:pPr>
              <w:rPr>
                <w:rFonts w:ascii="Aptos" w:hAnsi="Aptos"/>
                <w:lang w:val="fr-FR"/>
              </w:rPr>
            </w:pPr>
            <w:r w:rsidRPr="009E5F8A">
              <w:rPr>
                <w:rFonts w:ascii="Aptos" w:eastAsia="Arial" w:hAnsi="Aptos"/>
                <w:sz w:val="17"/>
                <w:lang w:val="fr-FR"/>
              </w:rPr>
              <w:t>≈ 25 – 35</w:t>
            </w:r>
          </w:p>
        </w:tc>
      </w:tr>
      <w:tr w:rsidR="007D7CC9" w:rsidRPr="009E5F8A" w14:paraId="41820F27" w14:textId="77777777" w:rsidTr="00BB33E3">
        <w:trPr>
          <w:jc w:val="center"/>
        </w:trPr>
        <w:tc>
          <w:tcPr>
            <w:tcW w:w="4819" w:type="dxa"/>
          </w:tcPr>
          <w:p w14:paraId="39DFF8F9" w14:textId="77777777" w:rsidR="007D7CC9" w:rsidRPr="009E5F8A" w:rsidRDefault="007D7CC9" w:rsidP="00BB33E3">
            <w:pPr>
              <w:rPr>
                <w:rFonts w:ascii="Aptos" w:hAnsi="Aptos"/>
                <w:lang w:val="fr-FR"/>
              </w:rPr>
            </w:pPr>
            <w:r w:rsidRPr="009E5F8A">
              <w:rPr>
                <w:rFonts w:ascii="Aptos" w:eastAsia="Arial" w:hAnsi="Aptos"/>
                <w:sz w:val="17"/>
                <w:lang w:val="fr-FR"/>
              </w:rPr>
              <w:t>Froid industriel + production de glace</w:t>
            </w:r>
          </w:p>
        </w:tc>
        <w:tc>
          <w:tcPr>
            <w:tcW w:w="4819" w:type="dxa"/>
          </w:tcPr>
          <w:p w14:paraId="605F425F" w14:textId="77777777" w:rsidR="007D7CC9" w:rsidRPr="009E5F8A" w:rsidRDefault="007D7CC9" w:rsidP="00BB33E3">
            <w:pPr>
              <w:rPr>
                <w:rFonts w:ascii="Aptos" w:hAnsi="Aptos"/>
                <w:lang w:val="fr-FR"/>
              </w:rPr>
            </w:pPr>
            <w:r w:rsidRPr="009E5F8A">
              <w:rPr>
                <w:rFonts w:ascii="Aptos" w:eastAsia="Arial" w:hAnsi="Aptos"/>
                <w:sz w:val="17"/>
                <w:lang w:val="fr-FR"/>
              </w:rPr>
              <w:t>≈ 15 – 25</w:t>
            </w:r>
          </w:p>
        </w:tc>
      </w:tr>
    </w:tbl>
    <w:p w14:paraId="358C2070" w14:textId="77777777" w:rsidR="007D7CC9" w:rsidRPr="009E5F8A" w:rsidRDefault="007D7CC9" w:rsidP="007D7CC9">
      <w:pPr>
        <w:spacing w:before="40" w:after="120"/>
        <w:jc w:val="center"/>
        <w:rPr>
          <w:rFonts w:ascii="Aptos" w:hAnsi="Aptos"/>
          <w:lang w:val="fr-FR"/>
        </w:rPr>
      </w:pPr>
      <w:r w:rsidRPr="009E5F8A">
        <w:rPr>
          <w:rFonts w:ascii="Aptos" w:hAnsi="Aptos"/>
          <w:i/>
          <w:color w:val="3C3C3C"/>
          <w:sz w:val="17"/>
          <w:lang w:val="fr-FR"/>
        </w:rPr>
        <w:t>Fig. B1 – Niveaux de froid – Jakarta Agglomération (41,9 millions)</w:t>
      </w:r>
    </w:p>
    <w:p w14:paraId="5BC53749"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5. Énergie électrique nécessaire et COP réel</w:t>
      </w:r>
    </w:p>
    <w:p w14:paraId="37E6DA1D" w14:textId="77777777" w:rsidR="007D7CC9" w:rsidRPr="009E5F8A" w:rsidRDefault="007D7CC9" w:rsidP="007D7CC9">
      <w:pPr>
        <w:spacing w:after="80"/>
        <w:jc w:val="both"/>
        <w:rPr>
          <w:rFonts w:ascii="Aptos" w:hAnsi="Aptos"/>
          <w:lang w:val="fr-FR"/>
        </w:rPr>
      </w:pPr>
      <w:r w:rsidRPr="009E5F8A">
        <w:rPr>
          <w:rFonts w:ascii="Aptos" w:hAnsi="Aptos"/>
          <w:sz w:val="19"/>
          <w:lang w:val="fr-FR"/>
        </w:rPr>
        <w:t>Le coefficient de performance (COP) indique combien d’unités de froid sont produites par unité d’électricité consommée. En climat tropical et en conditions urbaines denses, les COP réels des systèmes air-air se situent fréquemment entre 2,2 et 3,2, parfois plus bas lorsque les condenseurs travaillent dans un air déjà réchauffé.</w:t>
      </w:r>
    </w:p>
    <w:p w14:paraId="2E4A6846" w14:textId="77777777" w:rsidR="007D7CC9" w:rsidRPr="009E5F8A" w:rsidRDefault="007D7CC9" w:rsidP="007D7CC9">
      <w:pPr>
        <w:spacing w:after="80"/>
        <w:jc w:val="both"/>
        <w:rPr>
          <w:rFonts w:ascii="Aptos" w:hAnsi="Aptos"/>
          <w:lang w:val="fr-FR"/>
        </w:rPr>
      </w:pPr>
      <w:r w:rsidRPr="009E5F8A">
        <w:rPr>
          <w:rFonts w:ascii="Aptos" w:hAnsi="Aptos"/>
          <w:sz w:val="19"/>
          <w:lang w:val="fr-FR"/>
        </w:rPr>
        <w:t>Conséquence à l’échelle de l’agglomération :</w:t>
      </w:r>
    </w:p>
    <w:p w14:paraId="778F01D2"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Pour produire ≈ 85 TWh thermiques de froid de confort, il faut consommer ≈ 31,5 TWh d’électricité (COP 2,7).</w:t>
      </w:r>
    </w:p>
    <w:p w14:paraId="4445BE9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Une part très significative de la consommation électrique de l’agglomération est donc consacrée uniquement à la production de froid.</w:t>
      </w:r>
    </w:p>
    <w:p w14:paraId="42AC7C18"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6. Pénalité d’efficacité et effet point chaud</w:t>
      </w:r>
    </w:p>
    <w:p w14:paraId="6E218021" w14:textId="77777777" w:rsidR="007D7CC9" w:rsidRPr="009E5F8A" w:rsidRDefault="007D7CC9" w:rsidP="007D7CC9">
      <w:pPr>
        <w:pStyle w:val="Heading5"/>
        <w:rPr>
          <w:rFonts w:ascii="Aptos" w:hAnsi="Aptos"/>
          <w:lang w:val="fr-FR"/>
        </w:rPr>
      </w:pPr>
      <w:r w:rsidRPr="009E5F8A">
        <w:rPr>
          <w:rFonts w:ascii="Aptos" w:hAnsi="Aptos"/>
          <w:b/>
          <w:color w:val="1B6B4A"/>
          <w:sz w:val="22"/>
          <w:lang w:val="fr-FR"/>
        </w:rPr>
        <w:t>6.1 Rejet de chaleur des systèmes air-air</w:t>
      </w:r>
    </w:p>
    <w:p w14:paraId="163D62E8" w14:textId="77777777" w:rsidR="007D7CC9" w:rsidRPr="009E5F8A" w:rsidRDefault="007D7CC9" w:rsidP="007D7CC9">
      <w:pPr>
        <w:rPr>
          <w:rFonts w:ascii="Aptos" w:hAnsi="Aptos"/>
          <w:lang w:val="fr-FR"/>
        </w:rPr>
      </w:pPr>
      <w:r w:rsidRPr="009E5F8A">
        <w:rPr>
          <w:rFonts w:ascii="Aptos" w:hAnsi="Aptos"/>
          <w:sz w:val="19"/>
          <w:lang w:val="fr-FR"/>
        </w:rPr>
        <w:t>Dans un climatiseur ou une pompe à chaleur air-air, la chaleur extraite de l’intérieur (plus la chaleur équivalente à l’énergie électrique consommée) est rejetée à l’extérieur. Pour un COP de 2,7 :</w:t>
      </w:r>
    </w:p>
    <w:p w14:paraId="4C082DEE" w14:textId="77777777" w:rsidR="007D7CC9" w:rsidRPr="009E5F8A" w:rsidRDefault="007D7CC9" w:rsidP="007D7CC9">
      <w:pPr>
        <w:spacing w:after="80"/>
        <w:jc w:val="both"/>
        <w:rPr>
          <w:rFonts w:ascii="Aptos" w:hAnsi="Aptos"/>
          <w:lang w:val="fr-FR"/>
        </w:rPr>
      </w:pPr>
      <w:r w:rsidRPr="009E5F8A">
        <w:rPr>
          <w:rFonts w:ascii="Aptos" w:hAnsi="Aptos"/>
          <w:b/>
          <w:sz w:val="19"/>
          <w:lang w:val="fr-FR"/>
        </w:rPr>
        <w:t>Chaleur rejetée ≈ 1 + 1/COP ≈ 1,37 kWh de chaleur par kWh de froid produit.</w:t>
      </w:r>
    </w:p>
    <w:p w14:paraId="70D6E085" w14:textId="77777777" w:rsidR="007D7CC9" w:rsidRPr="009E5F8A" w:rsidRDefault="007D7CC9" w:rsidP="007D7CC9">
      <w:pPr>
        <w:spacing w:after="80"/>
        <w:jc w:val="both"/>
        <w:rPr>
          <w:rFonts w:ascii="Aptos" w:hAnsi="Aptos"/>
          <w:lang w:val="fr-FR"/>
        </w:rPr>
      </w:pPr>
      <w:r w:rsidRPr="009E5F8A">
        <w:rPr>
          <w:rFonts w:ascii="Aptos" w:hAnsi="Aptos"/>
          <w:sz w:val="19"/>
          <w:lang w:val="fr-FR"/>
        </w:rPr>
        <w:t>À l’échelle de l’agglomération, cela représente plusieurs dizaines de TWh thermiques de chaleur injectés chaque année dans les rues, les cours d’immeubles, les toitures et les zones industrielles.</w:t>
      </w:r>
    </w:p>
    <w:p w14:paraId="7E703F14" w14:textId="77777777" w:rsidR="007D7CC9" w:rsidRPr="009E5F8A" w:rsidRDefault="007D7CC9" w:rsidP="007D7CC9">
      <w:pPr>
        <w:pStyle w:val="Heading5"/>
        <w:rPr>
          <w:rFonts w:ascii="Aptos" w:hAnsi="Aptos"/>
          <w:lang w:val="fr-FR"/>
        </w:rPr>
      </w:pPr>
      <w:r w:rsidRPr="009E5F8A">
        <w:rPr>
          <w:rFonts w:ascii="Aptos" w:hAnsi="Aptos"/>
          <w:b/>
          <w:color w:val="1B6B4A"/>
          <w:sz w:val="22"/>
          <w:lang w:val="fr-FR"/>
        </w:rPr>
        <w:t>6.2 Boucle de rétroaction avec l’îlot de chaleur urbain</w:t>
      </w:r>
    </w:p>
    <w:p w14:paraId="3330F0B5" w14:textId="77777777" w:rsidR="007D7CC9" w:rsidRPr="009E5F8A" w:rsidRDefault="007D7CC9" w:rsidP="007D7CC9">
      <w:pPr>
        <w:spacing w:after="80"/>
        <w:jc w:val="both"/>
        <w:rPr>
          <w:rFonts w:ascii="Aptos" w:hAnsi="Aptos"/>
          <w:lang w:val="fr-FR"/>
        </w:rPr>
      </w:pPr>
      <w:r w:rsidRPr="009E5F8A">
        <w:rPr>
          <w:rFonts w:ascii="Aptos" w:hAnsi="Aptos"/>
          <w:sz w:val="19"/>
          <w:lang w:val="fr-FR"/>
        </w:rPr>
        <w:t>L’injection massive de chaleur anthropique aggrave l’îlot de chaleur urbain. La température de l’air extérieur s’élève, ce qui :</w:t>
      </w:r>
    </w:p>
    <w:p w14:paraId="778F0EC4"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Augmente la charge de froid à extraire des bâtiments.</w:t>
      </w:r>
    </w:p>
    <w:p w14:paraId="46366C3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Dégrade encore le COP des machines air-air (le condenseur travaille avec un air plus chaud).</w:t>
      </w:r>
    </w:p>
    <w:p w14:paraId="30E1585D"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Augmente la consommation électrique et le rejet de chaleur.</w:t>
      </w:r>
    </w:p>
    <w:p w14:paraId="5007A2FA" w14:textId="77777777" w:rsidR="007D7CC9" w:rsidRPr="009E5F8A" w:rsidRDefault="007D7CC9" w:rsidP="007D7CC9">
      <w:pPr>
        <w:spacing w:after="80"/>
        <w:jc w:val="both"/>
        <w:rPr>
          <w:rFonts w:ascii="Aptos" w:hAnsi="Aptos"/>
          <w:lang w:val="fr-FR"/>
        </w:rPr>
      </w:pPr>
      <w:r w:rsidRPr="009E5F8A">
        <w:rPr>
          <w:rFonts w:ascii="Aptos" w:hAnsi="Aptos"/>
          <w:sz w:val="19"/>
          <w:lang w:val="fr-FR"/>
        </w:rPr>
        <w:t>Des études sur des villes tropicales et subtropicales montrent que le rejet de chaleur des climatiseurs peut élever la température de l’air nocturne de plusieurs dixièmes de degré à plus d’un degré selon la densité, et que cet effet dégrade significativement le rendement des installations. Dans les zones denses de l’agglomération de Jakarta, cette pénalité d’efficacité est structurelle.</w:t>
      </w:r>
    </w:p>
    <w:p w14:paraId="50043DB1" w14:textId="77777777" w:rsidR="007D7CC9" w:rsidRPr="009E5F8A" w:rsidRDefault="007D7CC9" w:rsidP="007D7CC9">
      <w:pPr>
        <w:pStyle w:val="Heading5"/>
        <w:rPr>
          <w:rFonts w:ascii="Aptos" w:hAnsi="Aptos"/>
          <w:lang w:val="fr-FR"/>
        </w:rPr>
      </w:pPr>
      <w:r w:rsidRPr="009E5F8A">
        <w:rPr>
          <w:rFonts w:ascii="Aptos" w:hAnsi="Aptos"/>
          <w:b/>
          <w:color w:val="1B6B4A"/>
          <w:sz w:val="22"/>
          <w:lang w:val="fr-FR"/>
        </w:rPr>
        <w:t>6.3 Conséquence pour les zones industrielles et les rues</w:t>
      </w:r>
    </w:p>
    <w:p w14:paraId="4DBF8638" w14:textId="77777777" w:rsidR="007D7CC9" w:rsidRPr="009E5F8A" w:rsidRDefault="007D7CC9" w:rsidP="007D7CC9">
      <w:pPr>
        <w:spacing w:after="80"/>
        <w:jc w:val="both"/>
        <w:rPr>
          <w:rFonts w:ascii="Aptos" w:hAnsi="Aptos"/>
          <w:lang w:val="fr-FR"/>
        </w:rPr>
      </w:pPr>
      <w:r w:rsidRPr="009E5F8A">
        <w:rPr>
          <w:rFonts w:ascii="Aptos" w:hAnsi="Aptos"/>
          <w:sz w:val="19"/>
          <w:lang w:val="fr-FR"/>
        </w:rPr>
        <w:t>Dans les zones à forte densité d’unités extérieures, la température locale est plus élevée que la température de référence. Les condenseurs travaillent dans un environnement dégradé, ce qui augmente la consommation électrique pour un même service de froid. L’effet secondaire de la création de froid actuelle est donc de chauffer l’espace public et les zones d’activité, tout en rendant la production de froid elle-même plus coûteuse en énergie.</w:t>
      </w:r>
    </w:p>
    <w:tbl>
      <w:tblPr>
        <w:tblStyle w:val="TableGrid"/>
        <w:tblW w:w="0" w:type="auto"/>
        <w:jc w:val="center"/>
        <w:tblLook w:val="04A0" w:firstRow="1" w:lastRow="0" w:firstColumn="1" w:lastColumn="0" w:noHBand="0" w:noVBand="1"/>
      </w:tblPr>
      <w:tblGrid>
        <w:gridCol w:w="4819"/>
        <w:gridCol w:w="4819"/>
      </w:tblGrid>
      <w:tr w:rsidR="007D7CC9" w:rsidRPr="009E5F8A" w14:paraId="361AD165" w14:textId="77777777" w:rsidTr="00BB33E3">
        <w:trPr>
          <w:jc w:val="center"/>
        </w:trPr>
        <w:tc>
          <w:tcPr>
            <w:tcW w:w="4819" w:type="dxa"/>
          </w:tcPr>
          <w:p w14:paraId="478CE0CB" w14:textId="77777777" w:rsidR="007D7CC9" w:rsidRPr="009E5F8A" w:rsidRDefault="007D7CC9" w:rsidP="00BB33E3">
            <w:pPr>
              <w:rPr>
                <w:rFonts w:ascii="Aptos" w:hAnsi="Aptos"/>
                <w:lang w:val="fr-FR"/>
              </w:rPr>
            </w:pPr>
            <w:r w:rsidRPr="009E5F8A">
              <w:rPr>
                <w:rFonts w:ascii="Aptos" w:eastAsia="Arial" w:hAnsi="Aptos"/>
                <w:b/>
                <w:sz w:val="17"/>
                <w:lang w:val="fr-FR"/>
              </w:rPr>
              <w:t>Paramètre</w:t>
            </w:r>
          </w:p>
        </w:tc>
        <w:tc>
          <w:tcPr>
            <w:tcW w:w="4819" w:type="dxa"/>
          </w:tcPr>
          <w:p w14:paraId="0298AC68" w14:textId="77777777" w:rsidR="007D7CC9" w:rsidRPr="009E5F8A" w:rsidRDefault="007D7CC9" w:rsidP="00BB33E3">
            <w:pPr>
              <w:rPr>
                <w:rFonts w:ascii="Aptos" w:hAnsi="Aptos"/>
                <w:lang w:val="fr-FR"/>
              </w:rPr>
            </w:pPr>
            <w:r w:rsidRPr="009E5F8A">
              <w:rPr>
                <w:rFonts w:ascii="Aptos" w:eastAsia="Arial" w:hAnsi="Aptos"/>
                <w:b/>
                <w:sz w:val="17"/>
                <w:lang w:val="fr-FR"/>
              </w:rPr>
              <w:t>Valeur centrale (agglomération)</w:t>
            </w:r>
          </w:p>
        </w:tc>
      </w:tr>
      <w:tr w:rsidR="007D7CC9" w:rsidRPr="009E5F8A" w14:paraId="15F1DF0A" w14:textId="77777777" w:rsidTr="00BB33E3">
        <w:trPr>
          <w:jc w:val="center"/>
        </w:trPr>
        <w:tc>
          <w:tcPr>
            <w:tcW w:w="4819" w:type="dxa"/>
          </w:tcPr>
          <w:p w14:paraId="3DDFF1B3" w14:textId="77777777" w:rsidR="007D7CC9" w:rsidRPr="009E5F8A" w:rsidRDefault="007D7CC9" w:rsidP="00BB33E3">
            <w:pPr>
              <w:rPr>
                <w:rFonts w:ascii="Aptos" w:hAnsi="Aptos"/>
                <w:lang w:val="fr-FR"/>
              </w:rPr>
            </w:pPr>
            <w:r w:rsidRPr="009E5F8A">
              <w:rPr>
                <w:rFonts w:ascii="Aptos" w:eastAsia="Arial" w:hAnsi="Aptos"/>
                <w:sz w:val="17"/>
                <w:lang w:val="fr-FR"/>
              </w:rPr>
              <w:t>Électricité pour le froid</w:t>
            </w:r>
          </w:p>
        </w:tc>
        <w:tc>
          <w:tcPr>
            <w:tcW w:w="4819" w:type="dxa"/>
          </w:tcPr>
          <w:p w14:paraId="534840FC" w14:textId="77777777" w:rsidR="007D7CC9" w:rsidRPr="009E5F8A" w:rsidRDefault="007D7CC9" w:rsidP="00BB33E3">
            <w:pPr>
              <w:rPr>
                <w:rFonts w:ascii="Aptos" w:hAnsi="Aptos"/>
                <w:lang w:val="fr-FR"/>
              </w:rPr>
            </w:pPr>
            <w:r w:rsidRPr="009E5F8A">
              <w:rPr>
                <w:rFonts w:ascii="Aptos" w:eastAsia="Arial" w:hAnsi="Aptos"/>
                <w:sz w:val="17"/>
                <w:lang w:val="fr-FR"/>
              </w:rPr>
              <w:t>≈ 31,5 TWh/an</w:t>
            </w:r>
          </w:p>
        </w:tc>
      </w:tr>
      <w:tr w:rsidR="007D7CC9" w:rsidRPr="009E5F8A" w14:paraId="1E03CB12" w14:textId="77777777" w:rsidTr="00BB33E3">
        <w:trPr>
          <w:jc w:val="center"/>
        </w:trPr>
        <w:tc>
          <w:tcPr>
            <w:tcW w:w="4819" w:type="dxa"/>
          </w:tcPr>
          <w:p w14:paraId="7B062DCA" w14:textId="77777777" w:rsidR="007D7CC9" w:rsidRPr="009E5F8A" w:rsidRDefault="007D7CC9" w:rsidP="00BB33E3">
            <w:pPr>
              <w:rPr>
                <w:rFonts w:ascii="Aptos" w:hAnsi="Aptos"/>
                <w:lang w:val="fr-FR"/>
              </w:rPr>
            </w:pPr>
            <w:r w:rsidRPr="009E5F8A">
              <w:rPr>
                <w:rFonts w:ascii="Aptos" w:eastAsia="Arial" w:hAnsi="Aptos"/>
                <w:sz w:val="17"/>
                <w:lang w:val="fr-FR"/>
              </w:rPr>
              <w:t>Froid produit</w:t>
            </w:r>
          </w:p>
        </w:tc>
        <w:tc>
          <w:tcPr>
            <w:tcW w:w="4819" w:type="dxa"/>
          </w:tcPr>
          <w:p w14:paraId="37179033" w14:textId="77777777" w:rsidR="007D7CC9" w:rsidRPr="009E5F8A" w:rsidRDefault="007D7CC9" w:rsidP="00BB33E3">
            <w:pPr>
              <w:rPr>
                <w:rFonts w:ascii="Aptos" w:hAnsi="Aptos"/>
                <w:lang w:val="fr-FR"/>
              </w:rPr>
            </w:pPr>
            <w:r w:rsidRPr="009E5F8A">
              <w:rPr>
                <w:rFonts w:ascii="Aptos" w:eastAsia="Arial" w:hAnsi="Aptos"/>
                <w:sz w:val="17"/>
                <w:lang w:val="fr-FR"/>
              </w:rPr>
              <w:t>≈ 85 TWh thermiques/an</w:t>
            </w:r>
          </w:p>
        </w:tc>
      </w:tr>
      <w:tr w:rsidR="007D7CC9" w:rsidRPr="009E5F8A" w14:paraId="53D5EA83" w14:textId="77777777" w:rsidTr="00BB33E3">
        <w:trPr>
          <w:jc w:val="center"/>
        </w:trPr>
        <w:tc>
          <w:tcPr>
            <w:tcW w:w="4819" w:type="dxa"/>
          </w:tcPr>
          <w:p w14:paraId="12924384" w14:textId="77777777" w:rsidR="007D7CC9" w:rsidRPr="009E5F8A" w:rsidRDefault="007D7CC9" w:rsidP="00BB33E3">
            <w:pPr>
              <w:rPr>
                <w:rFonts w:ascii="Aptos" w:hAnsi="Aptos"/>
                <w:lang w:val="fr-FR"/>
              </w:rPr>
            </w:pPr>
            <w:r w:rsidRPr="009E5F8A">
              <w:rPr>
                <w:rFonts w:ascii="Aptos" w:eastAsia="Arial" w:hAnsi="Aptos"/>
                <w:sz w:val="17"/>
                <w:lang w:val="fr-FR"/>
              </w:rPr>
              <w:t>Chaleur rejetée dans l’environnement urbain</w:t>
            </w:r>
          </w:p>
        </w:tc>
        <w:tc>
          <w:tcPr>
            <w:tcW w:w="4819" w:type="dxa"/>
          </w:tcPr>
          <w:p w14:paraId="1034C77E" w14:textId="77777777" w:rsidR="007D7CC9" w:rsidRPr="009E5F8A" w:rsidRDefault="007D7CC9" w:rsidP="00BB33E3">
            <w:pPr>
              <w:rPr>
                <w:rFonts w:ascii="Aptos" w:hAnsi="Aptos"/>
                <w:lang w:val="fr-FR"/>
              </w:rPr>
            </w:pPr>
            <w:r w:rsidRPr="009E5F8A">
              <w:rPr>
                <w:rFonts w:ascii="Aptos" w:eastAsia="Arial" w:hAnsi="Aptos"/>
                <w:sz w:val="17"/>
                <w:lang w:val="fr-FR"/>
              </w:rPr>
              <w:t>≈ 115 – 120 TWh thermiques/an</w:t>
            </w:r>
          </w:p>
        </w:tc>
      </w:tr>
    </w:tbl>
    <w:p w14:paraId="50929734" w14:textId="77777777" w:rsidR="007D7CC9" w:rsidRPr="009E5F8A" w:rsidRDefault="007D7CC9" w:rsidP="007D7CC9">
      <w:pPr>
        <w:spacing w:before="40" w:after="120"/>
        <w:jc w:val="center"/>
        <w:rPr>
          <w:rFonts w:ascii="Aptos" w:hAnsi="Aptos"/>
          <w:lang w:val="fr-FR"/>
        </w:rPr>
      </w:pPr>
      <w:r w:rsidRPr="009E5F8A">
        <w:rPr>
          <w:rFonts w:ascii="Aptos" w:hAnsi="Aptos"/>
          <w:i/>
          <w:color w:val="3C3C3C"/>
          <w:sz w:val="17"/>
          <w:lang w:val="fr-FR"/>
        </w:rPr>
        <w:t>Fig. B2 – Énergie et rejet de chaleur – Jakarta Agglomération</w:t>
      </w:r>
    </w:p>
    <w:p w14:paraId="22BF8A26"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7. Synthèse pour la trajectoire Nusantara</w:t>
      </w:r>
    </w:p>
    <w:p w14:paraId="292388A1" w14:textId="77777777" w:rsidR="007D7CC9" w:rsidRPr="009E5F8A" w:rsidRDefault="007D7CC9" w:rsidP="007D7CC9">
      <w:pPr>
        <w:spacing w:after="80"/>
        <w:jc w:val="both"/>
        <w:rPr>
          <w:rFonts w:ascii="Aptos" w:hAnsi="Aptos"/>
          <w:lang w:val="fr-FR"/>
        </w:rPr>
      </w:pPr>
      <w:r w:rsidRPr="009E5F8A">
        <w:rPr>
          <w:rFonts w:ascii="Aptos" w:hAnsi="Aptos"/>
          <w:sz w:val="19"/>
          <w:lang w:val="fr-FR"/>
        </w:rPr>
        <w:t>À l’échelle de l’agglomération de Jakarta aujourd’hui :</w:t>
      </w:r>
    </w:p>
    <w:p w14:paraId="533D6480"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Le froid est produit quasi exclusivement par compression électrique, majoritairement air-air.</w:t>
      </w:r>
    </w:p>
    <w:p w14:paraId="75455E6F"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Les besoins industriels pertinents sont la réfrigération classique et la production de glace (pas la cryogénie à grande échelle).</w:t>
      </w:r>
    </w:p>
    <w:p w14:paraId="0144C3A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L’énergie électrique nécessaire est élevée en raison de COP moyens à faibles (2,2 – 3,2 en conditions réelles).</w:t>
      </w:r>
    </w:p>
    <w:p w14:paraId="4612DD1F"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lastRenderedPageBreak/>
        <w:t>Le rejet de chaleur dans les rues et les zones industrielles crée une pénalité d’efficacité et aggrave l’îlot de chaleur urbain.</w:t>
      </w:r>
    </w:p>
    <w:p w14:paraId="5CB9C6FA" w14:textId="77777777" w:rsidR="007D7CC9" w:rsidRPr="009E5F8A" w:rsidRDefault="007D7CC9" w:rsidP="007D7CC9">
      <w:pPr>
        <w:spacing w:after="80"/>
        <w:jc w:val="both"/>
        <w:rPr>
          <w:rFonts w:ascii="Aptos" w:hAnsi="Aptos"/>
          <w:lang w:val="fr-FR"/>
        </w:rPr>
      </w:pPr>
      <w:r w:rsidRPr="009E5F8A">
        <w:rPr>
          <w:rFonts w:ascii="Aptos" w:hAnsi="Aptos"/>
          <w:sz w:val="19"/>
          <w:lang w:val="fr-FR"/>
        </w:rPr>
        <w:t>Cette situation constitue la base de référence. Une capitale nouvelle conçue autour de réseaux de froid centralisés (District Cooling), de condenseurs mieux gérés, éventuellement de sources de froid à plus haut rendement ou partiellement découplées de l’air ambiant, peut viser simultanément :</w:t>
      </w:r>
    </w:p>
    <w:p w14:paraId="5E134C8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Une réduction significative de la consommation électrique par unité de froid.</w:t>
      </w:r>
    </w:p>
    <w:p w14:paraId="256B7325"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La suppression ou la forte limitation du rejet de chaleur dans l’espace public.</w:t>
      </w:r>
    </w:p>
    <w:p w14:paraId="262D0A57"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Une trajectoire de coût du froid et de l’électricité décroissante sur 50 ans, associée à une réduction radicale des émissions.</w:t>
      </w:r>
    </w:p>
    <w:p w14:paraId="28F2726A" w14:textId="77777777" w:rsidR="007D7CC9" w:rsidRPr="009E5F8A" w:rsidRDefault="007D7CC9" w:rsidP="007D7CC9">
      <w:pPr>
        <w:spacing w:after="80"/>
        <w:jc w:val="both"/>
        <w:rPr>
          <w:rFonts w:ascii="Aptos" w:hAnsi="Aptos"/>
          <w:lang w:val="fr-FR"/>
        </w:rPr>
      </w:pPr>
      <w:r w:rsidRPr="009E5F8A">
        <w:rPr>
          <w:rFonts w:ascii="Aptos" w:hAnsi="Aptos"/>
          <w:sz w:val="19"/>
          <w:lang w:val="fr-FR"/>
        </w:rPr>
        <w:t>L’Annexe A a quantifié les émissions. La présente Annexe B décrit le mécanisme énergétique et la pénalité d’efficacité qui les sous-tendent.</w:t>
      </w:r>
    </w:p>
    <w:p w14:paraId="781C18EE"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8. Limites et précautions</w:t>
      </w:r>
    </w:p>
    <w:p w14:paraId="68F56D27" w14:textId="77777777" w:rsidR="007D7CC9" w:rsidRPr="009E5F8A" w:rsidRDefault="007D7CC9" w:rsidP="007D7CC9">
      <w:pPr>
        <w:spacing w:after="80"/>
        <w:jc w:val="both"/>
        <w:rPr>
          <w:rFonts w:ascii="Aptos" w:hAnsi="Aptos"/>
          <w:lang w:val="fr-FR"/>
        </w:rPr>
      </w:pPr>
      <w:r w:rsidRPr="009E5F8A">
        <w:rPr>
          <w:rFonts w:ascii="Aptos" w:hAnsi="Aptos"/>
          <w:sz w:val="19"/>
          <w:lang w:val="fr-FR"/>
        </w:rPr>
        <w:t>Les chiffres présentés sont des ordres de grandeur encadrés par des hypothèses explicites. Ils ne constituent pas un inventaire technique exhaustif de toutes les installations de froid de l’agglomération. Un inventaire précis nécessiterait des données de parc d’équipements, de facteurs de charge et de conditions de fonctionnement réelles. Les valeurs ci-dessus restent néanmoins suffisantes pour servir de base de comparaison relative dans le cadre de ce dossier.</w:t>
      </w:r>
    </w:p>
    <w:p w14:paraId="2A695367" w14:textId="77777777" w:rsidR="007D7CC9" w:rsidRPr="009E5F8A" w:rsidRDefault="007D7CC9" w:rsidP="007D7CC9">
      <w:pPr>
        <w:pStyle w:val="Heading4"/>
        <w:rPr>
          <w:rFonts w:ascii="Aptos" w:hAnsi="Aptos"/>
          <w:lang w:val="fr-FR"/>
        </w:rPr>
      </w:pPr>
      <w:r w:rsidRPr="009E5F8A">
        <w:rPr>
          <w:rFonts w:ascii="Aptos" w:hAnsi="Aptos"/>
          <w:b/>
          <w:i w:val="0"/>
          <w:color w:val="0A2540"/>
          <w:sz w:val="26"/>
          <w:lang w:val="fr-FR"/>
        </w:rPr>
        <w:t>9. Références URL</w:t>
      </w:r>
    </w:p>
    <w:p w14:paraId="25B14EEA"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Population Greater Jakarta ≈ 41,9 millions : https://en.wikipedia.org/wiki/Jakarta (section Population – Metro) et rapports Nations Unies 2025.</w:t>
      </w:r>
    </w:p>
    <w:p w14:paraId="1E2D3F33"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Handbook of Energy and Economic Statistics of Indonesia 2024 (ESDM) : https://www.esdm.go.id/assets/media/content/content-handbook-of-energy-and-economic-statistics-of-indonesia-2024.pdf</w:t>
      </w:r>
    </w:p>
    <w:p w14:paraId="48DE595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IEA – Air conditioning as driver of electricity demand : https://www.iea.org/news/air-conditioning-use-emerges-as-one-of-the-key-drivers-of-global-electricity-demand-growth</w:t>
      </w:r>
    </w:p>
    <w:p w14:paraId="151692A9"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IEA – Electricity mid-year updates : https://www.iea.org/reports/electricity-mid-year-update-2025/demand-global-electricity-use-to-grow-strongly-in-2025-and-2026</w:t>
      </w:r>
    </w:p>
    <w:p w14:paraId="1E052361"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LBNL – Accelerating the Transition to More Energy Efficient Air Conditioners in Indonesia : https://eta-publications.lbl.gov/sites/default/files/lbnl_report_indonesia_acs_2020_rev_0.pdf</w:t>
      </w:r>
    </w:p>
    <w:p w14:paraId="462B0CBD"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Études sur le rejet de chaleur des climatiseurs et l’îlot de chaleur urbain (ex. : impacts des systèmes air-air sur la température extérieure et le COP) – littérature scientifique sur les villes tropicales et subtropicales.</w:t>
      </w:r>
    </w:p>
    <w:p w14:paraId="7C9499F4" w14:textId="77777777" w:rsidR="007D7CC9" w:rsidRPr="009E5F8A" w:rsidRDefault="007D7CC9" w:rsidP="007D7CC9">
      <w:pPr>
        <w:pStyle w:val="ListBullet"/>
        <w:tabs>
          <w:tab w:val="num" w:pos="360"/>
        </w:tabs>
        <w:ind w:left="360" w:hanging="360"/>
        <w:rPr>
          <w:rFonts w:ascii="Aptos" w:hAnsi="Aptos"/>
          <w:lang w:val="fr-FR"/>
        </w:rPr>
      </w:pPr>
      <w:r w:rsidRPr="009E5F8A">
        <w:rPr>
          <w:rFonts w:ascii="Aptos" w:eastAsia="Arial" w:hAnsi="Aptos"/>
          <w:sz w:val="19"/>
          <w:lang w:val="fr-FR"/>
        </w:rPr>
        <w:t>Document principal « Transparence économique de Jakarta Agglomération 2026 » et Annexe A – Bilan carbone (même dossier).</w:t>
      </w:r>
    </w:p>
    <w:p w14:paraId="6BE32A09" w14:textId="77777777" w:rsidR="007D7CC9" w:rsidRPr="009E5F8A" w:rsidRDefault="007D7CC9" w:rsidP="007D7CC9">
      <w:pPr>
        <w:jc w:val="center"/>
        <w:rPr>
          <w:rFonts w:ascii="Aptos" w:hAnsi="Aptos"/>
          <w:lang w:val="fr-FR"/>
        </w:rPr>
      </w:pPr>
      <w:r w:rsidRPr="009E5F8A">
        <w:rPr>
          <w:rFonts w:ascii="Aptos" w:hAnsi="Aptos"/>
          <w:i/>
          <w:color w:val="546E7A"/>
          <w:sz w:val="18"/>
          <w:lang w:val="fr-FR"/>
        </w:rPr>
        <w:t>— Fin de l’Annexe B – Bilan énergétique de la création de froid – Jakarta Agglomération —</w:t>
      </w:r>
    </w:p>
    <w:p w14:paraId="04D099FA" w14:textId="77777777" w:rsidR="007D7CC9" w:rsidRPr="009E5F8A" w:rsidRDefault="007D7CC9" w:rsidP="007D7CC9">
      <w:pPr>
        <w:rPr>
          <w:rFonts w:ascii="Aptos" w:hAnsi="Aptos"/>
          <w:lang w:val="fr-FR"/>
        </w:rPr>
        <w:sectPr w:rsidR="007D7CC9" w:rsidRPr="009E5F8A" w:rsidSect="007D7CC9">
          <w:headerReference w:type="default" r:id="rId22"/>
          <w:pgSz w:w="12240" w:h="15840"/>
          <w:pgMar w:top="907" w:right="1020" w:bottom="907" w:left="1020" w:header="374" w:footer="720" w:gutter="0"/>
          <w:cols w:space="720"/>
          <w:docGrid w:linePitch="360"/>
        </w:sectPr>
      </w:pPr>
    </w:p>
    <w:p w14:paraId="51AFC54A" w14:textId="77777777" w:rsidR="007D7CC9" w:rsidRPr="009E5F8A" w:rsidRDefault="007D7CC9" w:rsidP="007D7CC9">
      <w:pPr>
        <w:rPr>
          <w:rFonts w:ascii="Aptos" w:hAnsi="Aptos"/>
          <w:lang w:val="fr-FR"/>
        </w:rPr>
      </w:pPr>
    </w:p>
    <w:p w14:paraId="5F308DEF" w14:textId="77777777" w:rsidR="007D7CC9" w:rsidRPr="009E5F8A" w:rsidRDefault="007D7CC9" w:rsidP="007D7CC9">
      <w:pPr>
        <w:pStyle w:val="Heading3"/>
        <w:rPr>
          <w:rFonts w:ascii="Aptos" w:hAnsi="Aptos"/>
          <w:lang w:val="fr-FR"/>
        </w:rPr>
      </w:pPr>
      <w:bookmarkStart w:id="134" w:name="_Toc236489342"/>
      <w:bookmarkStart w:id="135" w:name="_Toc236489421"/>
      <w:r w:rsidRPr="009E5F8A">
        <w:rPr>
          <w:rFonts w:ascii="Aptos" w:hAnsi="Aptos"/>
          <w:lang w:val="fr-FR"/>
        </w:rPr>
        <w:t>Index Jakarta agglomération</w:t>
      </w:r>
      <w:bookmarkEnd w:id="134"/>
      <w:bookmarkEnd w:id="135"/>
    </w:p>
    <w:p w14:paraId="0512E33B" w14:textId="4C8DA0D3" w:rsidR="009E5F8A" w:rsidRDefault="007D7CC9">
      <w:pPr>
        <w:pStyle w:val="TOC1"/>
        <w:tabs>
          <w:tab w:val="right" w:leader="dot" w:pos="9628"/>
        </w:tabs>
        <w:rPr>
          <w:rFonts w:asciiTheme="minorHAnsi" w:eastAsiaTheme="minorEastAsia" w:hAnsiTheme="minorHAnsi" w:cstheme="minorBidi"/>
          <w:noProof/>
          <w:kern w:val="2"/>
          <w:sz w:val="24"/>
          <w:szCs w:val="24"/>
          <w14:ligatures w14:val="standardContextual"/>
        </w:rPr>
      </w:pPr>
      <w:r w:rsidRPr="009E5F8A">
        <w:rPr>
          <w:rFonts w:ascii="Aptos" w:hAnsi="Aptos"/>
          <w:lang w:val="fr-FR"/>
        </w:rPr>
        <w:fldChar w:fldCharType="begin"/>
      </w:r>
      <w:r w:rsidRPr="009E5F8A">
        <w:rPr>
          <w:rFonts w:ascii="Aptos" w:hAnsi="Aptos"/>
          <w:lang w:val="fr-FR"/>
        </w:rPr>
        <w:instrText xml:space="preserve"> TOC \o "1-3" \h \z \u </w:instrText>
      </w:r>
      <w:r w:rsidRPr="009E5F8A">
        <w:rPr>
          <w:rFonts w:ascii="Aptos" w:hAnsi="Aptos"/>
          <w:lang w:val="fr-FR"/>
        </w:rPr>
        <w:fldChar w:fldCharType="separate"/>
      </w:r>
      <w:hyperlink w:anchor="_Toc236489275" w:history="1">
        <w:r w:rsidR="009E5F8A" w:rsidRPr="002A4FF7">
          <w:rPr>
            <w:rStyle w:val="Hyperlink"/>
            <w:noProof/>
            <w:lang w:val="fr-FR"/>
          </w:rPr>
          <w:t>RAPPORT TECHNIQUE de Base Rev 0.0 - 30 juillet 2026</w:t>
        </w:r>
        <w:r w:rsidR="009E5F8A">
          <w:rPr>
            <w:noProof/>
            <w:webHidden/>
          </w:rPr>
          <w:tab/>
        </w:r>
        <w:r w:rsidR="009E5F8A">
          <w:rPr>
            <w:noProof/>
            <w:webHidden/>
          </w:rPr>
          <w:fldChar w:fldCharType="begin"/>
        </w:r>
        <w:r w:rsidR="009E5F8A">
          <w:rPr>
            <w:noProof/>
            <w:webHidden/>
          </w:rPr>
          <w:instrText xml:space="preserve"> PAGEREF _Toc236489275 \h </w:instrText>
        </w:r>
        <w:r w:rsidR="009E5F8A">
          <w:rPr>
            <w:noProof/>
            <w:webHidden/>
          </w:rPr>
        </w:r>
        <w:r w:rsidR="009E5F8A">
          <w:rPr>
            <w:noProof/>
            <w:webHidden/>
          </w:rPr>
          <w:fldChar w:fldCharType="separate"/>
        </w:r>
        <w:r w:rsidR="009E5F8A">
          <w:rPr>
            <w:noProof/>
            <w:webHidden/>
          </w:rPr>
          <w:t>1</w:t>
        </w:r>
        <w:r w:rsidR="009E5F8A">
          <w:rPr>
            <w:noProof/>
            <w:webHidden/>
          </w:rPr>
          <w:fldChar w:fldCharType="end"/>
        </w:r>
      </w:hyperlink>
    </w:p>
    <w:p w14:paraId="40A410E5" w14:textId="1FD13B48"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76" w:history="1">
        <w:r w:rsidRPr="002A4FF7">
          <w:rPr>
            <w:rStyle w:val="Hyperlink"/>
            <w:noProof/>
            <w:lang w:val="fr-FR"/>
          </w:rPr>
          <w:t>1. Introduction</w:t>
        </w:r>
        <w:r>
          <w:rPr>
            <w:noProof/>
            <w:webHidden/>
          </w:rPr>
          <w:tab/>
        </w:r>
        <w:r>
          <w:rPr>
            <w:noProof/>
            <w:webHidden/>
          </w:rPr>
          <w:fldChar w:fldCharType="begin"/>
        </w:r>
        <w:r>
          <w:rPr>
            <w:noProof/>
            <w:webHidden/>
          </w:rPr>
          <w:instrText xml:space="preserve"> PAGEREF _Toc236489276 \h </w:instrText>
        </w:r>
        <w:r>
          <w:rPr>
            <w:noProof/>
            <w:webHidden/>
          </w:rPr>
        </w:r>
        <w:r>
          <w:rPr>
            <w:noProof/>
            <w:webHidden/>
          </w:rPr>
          <w:fldChar w:fldCharType="separate"/>
        </w:r>
        <w:r>
          <w:rPr>
            <w:noProof/>
            <w:webHidden/>
          </w:rPr>
          <w:t>2</w:t>
        </w:r>
        <w:r>
          <w:rPr>
            <w:noProof/>
            <w:webHidden/>
          </w:rPr>
          <w:fldChar w:fldCharType="end"/>
        </w:r>
      </w:hyperlink>
    </w:p>
    <w:p w14:paraId="7128FF73" w14:textId="6B4DAF46"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77" w:history="1">
        <w:r w:rsidRPr="002A4FF7">
          <w:rPr>
            <w:rStyle w:val="Hyperlink"/>
            <w:noProof/>
            <w:lang w:val="fr-FR"/>
          </w:rPr>
          <w:t>2. Les défis techniques majeurs de Jakarta</w:t>
        </w:r>
        <w:r>
          <w:rPr>
            <w:noProof/>
            <w:webHidden/>
          </w:rPr>
          <w:tab/>
        </w:r>
        <w:r>
          <w:rPr>
            <w:noProof/>
            <w:webHidden/>
          </w:rPr>
          <w:fldChar w:fldCharType="begin"/>
        </w:r>
        <w:r>
          <w:rPr>
            <w:noProof/>
            <w:webHidden/>
          </w:rPr>
          <w:instrText xml:space="preserve"> PAGEREF _Toc236489277 \h </w:instrText>
        </w:r>
        <w:r>
          <w:rPr>
            <w:noProof/>
            <w:webHidden/>
          </w:rPr>
        </w:r>
        <w:r>
          <w:rPr>
            <w:noProof/>
            <w:webHidden/>
          </w:rPr>
          <w:fldChar w:fldCharType="separate"/>
        </w:r>
        <w:r>
          <w:rPr>
            <w:noProof/>
            <w:webHidden/>
          </w:rPr>
          <w:t>2</w:t>
        </w:r>
        <w:r>
          <w:rPr>
            <w:noProof/>
            <w:webHidden/>
          </w:rPr>
          <w:fldChar w:fldCharType="end"/>
        </w:r>
      </w:hyperlink>
    </w:p>
    <w:p w14:paraId="4CDCCBF3" w14:textId="1AB7A53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78" w:history="1">
        <w:r w:rsidRPr="002A4FF7">
          <w:rPr>
            <w:rStyle w:val="Hyperlink"/>
            <w:noProof/>
            <w:lang w:val="fr-FR"/>
          </w:rPr>
          <w:t>2.1 Affaissement du sol (land subsidence) et inondations</w:t>
        </w:r>
        <w:r>
          <w:rPr>
            <w:noProof/>
            <w:webHidden/>
          </w:rPr>
          <w:tab/>
        </w:r>
        <w:r>
          <w:rPr>
            <w:noProof/>
            <w:webHidden/>
          </w:rPr>
          <w:fldChar w:fldCharType="begin"/>
        </w:r>
        <w:r>
          <w:rPr>
            <w:noProof/>
            <w:webHidden/>
          </w:rPr>
          <w:instrText xml:space="preserve"> PAGEREF _Toc236489278 \h </w:instrText>
        </w:r>
        <w:r>
          <w:rPr>
            <w:noProof/>
            <w:webHidden/>
          </w:rPr>
        </w:r>
        <w:r>
          <w:rPr>
            <w:noProof/>
            <w:webHidden/>
          </w:rPr>
          <w:fldChar w:fldCharType="separate"/>
        </w:r>
        <w:r>
          <w:rPr>
            <w:noProof/>
            <w:webHidden/>
          </w:rPr>
          <w:t>2</w:t>
        </w:r>
        <w:r>
          <w:rPr>
            <w:noProof/>
            <w:webHidden/>
          </w:rPr>
          <w:fldChar w:fldCharType="end"/>
        </w:r>
      </w:hyperlink>
    </w:p>
    <w:p w14:paraId="4D88F5C7" w14:textId="5C2AADE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79" w:history="1">
        <w:r w:rsidRPr="002A4FF7">
          <w:rPr>
            <w:rStyle w:val="Hyperlink"/>
            <w:noProof/>
            <w:lang w:val="fr-FR"/>
          </w:rPr>
          <w:t>2.2 Congestion, pollution de l’air et infrastructure vieillissante</w:t>
        </w:r>
        <w:r>
          <w:rPr>
            <w:noProof/>
            <w:webHidden/>
          </w:rPr>
          <w:tab/>
        </w:r>
        <w:r>
          <w:rPr>
            <w:noProof/>
            <w:webHidden/>
          </w:rPr>
          <w:fldChar w:fldCharType="begin"/>
        </w:r>
        <w:r>
          <w:rPr>
            <w:noProof/>
            <w:webHidden/>
          </w:rPr>
          <w:instrText xml:space="preserve"> PAGEREF _Toc236489279 \h </w:instrText>
        </w:r>
        <w:r>
          <w:rPr>
            <w:noProof/>
            <w:webHidden/>
          </w:rPr>
        </w:r>
        <w:r>
          <w:rPr>
            <w:noProof/>
            <w:webHidden/>
          </w:rPr>
          <w:fldChar w:fldCharType="separate"/>
        </w:r>
        <w:r>
          <w:rPr>
            <w:noProof/>
            <w:webHidden/>
          </w:rPr>
          <w:t>2</w:t>
        </w:r>
        <w:r>
          <w:rPr>
            <w:noProof/>
            <w:webHidden/>
          </w:rPr>
          <w:fldChar w:fldCharType="end"/>
        </w:r>
      </w:hyperlink>
    </w:p>
    <w:p w14:paraId="1A49BE98" w14:textId="1D43F5EC"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0" w:history="1">
        <w:r w:rsidRPr="002A4FF7">
          <w:rPr>
            <w:rStyle w:val="Hyperlink"/>
            <w:noProof/>
            <w:lang w:val="fr-FR"/>
          </w:rPr>
          <w:t>2.3 Îlot de chaleur urbain (UHI) et climatisation</w:t>
        </w:r>
        <w:r>
          <w:rPr>
            <w:noProof/>
            <w:webHidden/>
          </w:rPr>
          <w:tab/>
        </w:r>
        <w:r>
          <w:rPr>
            <w:noProof/>
            <w:webHidden/>
          </w:rPr>
          <w:fldChar w:fldCharType="begin"/>
        </w:r>
        <w:r>
          <w:rPr>
            <w:noProof/>
            <w:webHidden/>
          </w:rPr>
          <w:instrText xml:space="preserve"> PAGEREF _Toc236489280 \h </w:instrText>
        </w:r>
        <w:r>
          <w:rPr>
            <w:noProof/>
            <w:webHidden/>
          </w:rPr>
        </w:r>
        <w:r>
          <w:rPr>
            <w:noProof/>
            <w:webHidden/>
          </w:rPr>
          <w:fldChar w:fldCharType="separate"/>
        </w:r>
        <w:r>
          <w:rPr>
            <w:noProof/>
            <w:webHidden/>
          </w:rPr>
          <w:t>2</w:t>
        </w:r>
        <w:r>
          <w:rPr>
            <w:noProof/>
            <w:webHidden/>
          </w:rPr>
          <w:fldChar w:fldCharType="end"/>
        </w:r>
      </w:hyperlink>
    </w:p>
    <w:p w14:paraId="1A2184E5" w14:textId="0ED4B8B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1" w:history="1">
        <w:r w:rsidRPr="002A4FF7">
          <w:rPr>
            <w:rStyle w:val="Hyperlink"/>
            <w:noProof/>
            <w:lang w:val="fr-FR"/>
          </w:rPr>
          <w:t>2.4 Dépendance énergétique et stress hydrique</w:t>
        </w:r>
        <w:r>
          <w:rPr>
            <w:noProof/>
            <w:webHidden/>
          </w:rPr>
          <w:tab/>
        </w:r>
        <w:r>
          <w:rPr>
            <w:noProof/>
            <w:webHidden/>
          </w:rPr>
          <w:fldChar w:fldCharType="begin"/>
        </w:r>
        <w:r>
          <w:rPr>
            <w:noProof/>
            <w:webHidden/>
          </w:rPr>
          <w:instrText xml:space="preserve"> PAGEREF _Toc236489281 \h </w:instrText>
        </w:r>
        <w:r>
          <w:rPr>
            <w:noProof/>
            <w:webHidden/>
          </w:rPr>
        </w:r>
        <w:r>
          <w:rPr>
            <w:noProof/>
            <w:webHidden/>
          </w:rPr>
          <w:fldChar w:fldCharType="separate"/>
        </w:r>
        <w:r>
          <w:rPr>
            <w:noProof/>
            <w:webHidden/>
          </w:rPr>
          <w:t>2</w:t>
        </w:r>
        <w:r>
          <w:rPr>
            <w:noProof/>
            <w:webHidden/>
          </w:rPr>
          <w:fldChar w:fldCharType="end"/>
        </w:r>
      </w:hyperlink>
    </w:p>
    <w:p w14:paraId="12F3F719" w14:textId="749A9E2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2" w:history="1">
        <w:r w:rsidRPr="002A4FF7">
          <w:rPr>
            <w:rStyle w:val="Hyperlink"/>
            <w:noProof/>
            <w:lang w:val="fr-FR"/>
          </w:rPr>
          <w:t>2.5 Autres risques techniques</w:t>
        </w:r>
        <w:r>
          <w:rPr>
            <w:noProof/>
            <w:webHidden/>
          </w:rPr>
          <w:tab/>
        </w:r>
        <w:r>
          <w:rPr>
            <w:noProof/>
            <w:webHidden/>
          </w:rPr>
          <w:fldChar w:fldCharType="begin"/>
        </w:r>
        <w:r>
          <w:rPr>
            <w:noProof/>
            <w:webHidden/>
          </w:rPr>
          <w:instrText xml:space="preserve"> PAGEREF _Toc236489282 \h </w:instrText>
        </w:r>
        <w:r>
          <w:rPr>
            <w:noProof/>
            <w:webHidden/>
          </w:rPr>
        </w:r>
        <w:r>
          <w:rPr>
            <w:noProof/>
            <w:webHidden/>
          </w:rPr>
          <w:fldChar w:fldCharType="separate"/>
        </w:r>
        <w:r>
          <w:rPr>
            <w:noProof/>
            <w:webHidden/>
          </w:rPr>
          <w:t>2</w:t>
        </w:r>
        <w:r>
          <w:rPr>
            <w:noProof/>
            <w:webHidden/>
          </w:rPr>
          <w:fldChar w:fldCharType="end"/>
        </w:r>
      </w:hyperlink>
    </w:p>
    <w:p w14:paraId="345B2C83" w14:textId="391F7F0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83" w:history="1">
        <w:r w:rsidRPr="002A4FF7">
          <w:rPr>
            <w:rStyle w:val="Hyperlink"/>
            <w:noProof/>
            <w:lang w:val="fr-FR"/>
          </w:rPr>
          <w:t>3. Les pièges de Singapour à éviter</w:t>
        </w:r>
        <w:r>
          <w:rPr>
            <w:noProof/>
            <w:webHidden/>
          </w:rPr>
          <w:tab/>
        </w:r>
        <w:r>
          <w:rPr>
            <w:noProof/>
            <w:webHidden/>
          </w:rPr>
          <w:fldChar w:fldCharType="begin"/>
        </w:r>
        <w:r>
          <w:rPr>
            <w:noProof/>
            <w:webHidden/>
          </w:rPr>
          <w:instrText xml:space="preserve"> PAGEREF _Toc236489283 \h </w:instrText>
        </w:r>
        <w:r>
          <w:rPr>
            <w:noProof/>
            <w:webHidden/>
          </w:rPr>
        </w:r>
        <w:r>
          <w:rPr>
            <w:noProof/>
            <w:webHidden/>
          </w:rPr>
          <w:fldChar w:fldCharType="separate"/>
        </w:r>
        <w:r>
          <w:rPr>
            <w:noProof/>
            <w:webHidden/>
          </w:rPr>
          <w:t>3</w:t>
        </w:r>
        <w:r>
          <w:rPr>
            <w:noProof/>
            <w:webHidden/>
          </w:rPr>
          <w:fldChar w:fldCharType="end"/>
        </w:r>
      </w:hyperlink>
    </w:p>
    <w:p w14:paraId="28C75A6F" w14:textId="345A60F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4" w:history="1">
        <w:r w:rsidRPr="002A4FF7">
          <w:rPr>
            <w:rStyle w:val="Hyperlink"/>
            <w:noProof/>
            <w:lang w:val="fr-FR"/>
          </w:rPr>
          <w:t>3.1 Dépendance énergétique quasi-totale</w:t>
        </w:r>
        <w:r>
          <w:rPr>
            <w:noProof/>
            <w:webHidden/>
          </w:rPr>
          <w:tab/>
        </w:r>
        <w:r>
          <w:rPr>
            <w:noProof/>
            <w:webHidden/>
          </w:rPr>
          <w:fldChar w:fldCharType="begin"/>
        </w:r>
        <w:r>
          <w:rPr>
            <w:noProof/>
            <w:webHidden/>
          </w:rPr>
          <w:instrText xml:space="preserve"> PAGEREF _Toc236489284 \h </w:instrText>
        </w:r>
        <w:r>
          <w:rPr>
            <w:noProof/>
            <w:webHidden/>
          </w:rPr>
        </w:r>
        <w:r>
          <w:rPr>
            <w:noProof/>
            <w:webHidden/>
          </w:rPr>
          <w:fldChar w:fldCharType="separate"/>
        </w:r>
        <w:r>
          <w:rPr>
            <w:noProof/>
            <w:webHidden/>
          </w:rPr>
          <w:t>3</w:t>
        </w:r>
        <w:r>
          <w:rPr>
            <w:noProof/>
            <w:webHidden/>
          </w:rPr>
          <w:fldChar w:fldCharType="end"/>
        </w:r>
      </w:hyperlink>
    </w:p>
    <w:p w14:paraId="02E51AB0" w14:textId="49A0947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5" w:history="1">
        <w:r w:rsidRPr="002A4FF7">
          <w:rPr>
            <w:rStyle w:val="Hyperlink"/>
            <w:noProof/>
            <w:lang w:val="fr-FR"/>
          </w:rPr>
          <w:t>3.2 Amplification de l’îlot de chaleur par les climatiseurs</w:t>
        </w:r>
        <w:r>
          <w:rPr>
            <w:noProof/>
            <w:webHidden/>
          </w:rPr>
          <w:tab/>
        </w:r>
        <w:r>
          <w:rPr>
            <w:noProof/>
            <w:webHidden/>
          </w:rPr>
          <w:fldChar w:fldCharType="begin"/>
        </w:r>
        <w:r>
          <w:rPr>
            <w:noProof/>
            <w:webHidden/>
          </w:rPr>
          <w:instrText xml:space="preserve"> PAGEREF _Toc236489285 \h </w:instrText>
        </w:r>
        <w:r>
          <w:rPr>
            <w:noProof/>
            <w:webHidden/>
          </w:rPr>
        </w:r>
        <w:r>
          <w:rPr>
            <w:noProof/>
            <w:webHidden/>
          </w:rPr>
          <w:fldChar w:fldCharType="separate"/>
        </w:r>
        <w:r>
          <w:rPr>
            <w:noProof/>
            <w:webHidden/>
          </w:rPr>
          <w:t>3</w:t>
        </w:r>
        <w:r>
          <w:rPr>
            <w:noProof/>
            <w:webHidden/>
          </w:rPr>
          <w:fldChar w:fldCharType="end"/>
        </w:r>
      </w:hyperlink>
    </w:p>
    <w:p w14:paraId="2A3D748E" w14:textId="2DF0FFF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86" w:history="1">
        <w:r w:rsidRPr="002A4FF7">
          <w:rPr>
            <w:rStyle w:val="Hyperlink"/>
            <w:noProof/>
            <w:lang w:val="fr-FR"/>
          </w:rPr>
          <w:t>4. Nusantara (IKN) : vision, statut et principes de design</w:t>
        </w:r>
        <w:r>
          <w:rPr>
            <w:noProof/>
            <w:webHidden/>
          </w:rPr>
          <w:tab/>
        </w:r>
        <w:r>
          <w:rPr>
            <w:noProof/>
            <w:webHidden/>
          </w:rPr>
          <w:fldChar w:fldCharType="begin"/>
        </w:r>
        <w:r>
          <w:rPr>
            <w:noProof/>
            <w:webHidden/>
          </w:rPr>
          <w:instrText xml:space="preserve"> PAGEREF _Toc236489286 \h </w:instrText>
        </w:r>
        <w:r>
          <w:rPr>
            <w:noProof/>
            <w:webHidden/>
          </w:rPr>
        </w:r>
        <w:r>
          <w:rPr>
            <w:noProof/>
            <w:webHidden/>
          </w:rPr>
          <w:fldChar w:fldCharType="separate"/>
        </w:r>
        <w:r>
          <w:rPr>
            <w:noProof/>
            <w:webHidden/>
          </w:rPr>
          <w:t>3</w:t>
        </w:r>
        <w:r>
          <w:rPr>
            <w:noProof/>
            <w:webHidden/>
          </w:rPr>
          <w:fldChar w:fldCharType="end"/>
        </w:r>
      </w:hyperlink>
    </w:p>
    <w:p w14:paraId="12AD4249" w14:textId="3F8A04AA"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7" w:history="1">
        <w:r w:rsidRPr="002A4FF7">
          <w:rPr>
            <w:rStyle w:val="Hyperlink"/>
            <w:noProof/>
            <w:lang w:val="fr-FR"/>
          </w:rPr>
          <w:t>4.1 Localisation et statut en juillet 2026</w:t>
        </w:r>
        <w:r>
          <w:rPr>
            <w:noProof/>
            <w:webHidden/>
          </w:rPr>
          <w:tab/>
        </w:r>
        <w:r>
          <w:rPr>
            <w:noProof/>
            <w:webHidden/>
          </w:rPr>
          <w:fldChar w:fldCharType="begin"/>
        </w:r>
        <w:r>
          <w:rPr>
            <w:noProof/>
            <w:webHidden/>
          </w:rPr>
          <w:instrText xml:space="preserve"> PAGEREF _Toc236489287 \h </w:instrText>
        </w:r>
        <w:r>
          <w:rPr>
            <w:noProof/>
            <w:webHidden/>
          </w:rPr>
        </w:r>
        <w:r>
          <w:rPr>
            <w:noProof/>
            <w:webHidden/>
          </w:rPr>
          <w:fldChar w:fldCharType="separate"/>
        </w:r>
        <w:r>
          <w:rPr>
            <w:noProof/>
            <w:webHidden/>
          </w:rPr>
          <w:t>3</w:t>
        </w:r>
        <w:r>
          <w:rPr>
            <w:noProof/>
            <w:webHidden/>
          </w:rPr>
          <w:fldChar w:fldCharType="end"/>
        </w:r>
      </w:hyperlink>
    </w:p>
    <w:p w14:paraId="1BD494B5" w14:textId="69ED0A3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8" w:history="1">
        <w:r w:rsidRPr="002A4FF7">
          <w:rPr>
            <w:rStyle w:val="Hyperlink"/>
            <w:noProof/>
            <w:lang w:val="fr-FR"/>
          </w:rPr>
          <w:t>4.2 Les trois piliers du masterplan (Perpres 63/2022 et documents OIKN)</w:t>
        </w:r>
        <w:r>
          <w:rPr>
            <w:noProof/>
            <w:webHidden/>
          </w:rPr>
          <w:tab/>
        </w:r>
        <w:r>
          <w:rPr>
            <w:noProof/>
            <w:webHidden/>
          </w:rPr>
          <w:fldChar w:fldCharType="begin"/>
        </w:r>
        <w:r>
          <w:rPr>
            <w:noProof/>
            <w:webHidden/>
          </w:rPr>
          <w:instrText xml:space="preserve"> PAGEREF _Toc236489288 \h </w:instrText>
        </w:r>
        <w:r>
          <w:rPr>
            <w:noProof/>
            <w:webHidden/>
          </w:rPr>
        </w:r>
        <w:r>
          <w:rPr>
            <w:noProof/>
            <w:webHidden/>
          </w:rPr>
          <w:fldChar w:fldCharType="separate"/>
        </w:r>
        <w:r>
          <w:rPr>
            <w:noProof/>
            <w:webHidden/>
          </w:rPr>
          <w:t>3</w:t>
        </w:r>
        <w:r>
          <w:rPr>
            <w:noProof/>
            <w:webHidden/>
          </w:rPr>
          <w:fldChar w:fldCharType="end"/>
        </w:r>
      </w:hyperlink>
    </w:p>
    <w:p w14:paraId="4559A158" w14:textId="1AFF478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89" w:history="1">
        <w:r w:rsidRPr="002A4FF7">
          <w:rPr>
            <w:rStyle w:val="Hyperlink"/>
            <w:noProof/>
            <w:lang w:val="fr-FR"/>
          </w:rPr>
          <w:t>4.3 Objectifs énergétiques et climatiques officiels</w:t>
        </w:r>
        <w:r>
          <w:rPr>
            <w:noProof/>
            <w:webHidden/>
          </w:rPr>
          <w:tab/>
        </w:r>
        <w:r>
          <w:rPr>
            <w:noProof/>
            <w:webHidden/>
          </w:rPr>
          <w:fldChar w:fldCharType="begin"/>
        </w:r>
        <w:r>
          <w:rPr>
            <w:noProof/>
            <w:webHidden/>
          </w:rPr>
          <w:instrText xml:space="preserve"> PAGEREF _Toc236489289 \h </w:instrText>
        </w:r>
        <w:r>
          <w:rPr>
            <w:noProof/>
            <w:webHidden/>
          </w:rPr>
        </w:r>
        <w:r>
          <w:rPr>
            <w:noProof/>
            <w:webHidden/>
          </w:rPr>
          <w:fldChar w:fldCharType="separate"/>
        </w:r>
        <w:r>
          <w:rPr>
            <w:noProof/>
            <w:webHidden/>
          </w:rPr>
          <w:t>3</w:t>
        </w:r>
        <w:r>
          <w:rPr>
            <w:noProof/>
            <w:webHidden/>
          </w:rPr>
          <w:fldChar w:fldCharType="end"/>
        </w:r>
      </w:hyperlink>
    </w:p>
    <w:p w14:paraId="1A8F92A6" w14:textId="61498BC2"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90" w:history="1">
        <w:r w:rsidRPr="002A4FF7">
          <w:rPr>
            <w:rStyle w:val="Hyperlink"/>
            <w:noProof/>
            <w:lang w:val="fr-FR"/>
          </w:rPr>
          <w:t>5. Comment Nusantara résout les défis de Jakarta</w:t>
        </w:r>
        <w:r>
          <w:rPr>
            <w:noProof/>
            <w:webHidden/>
          </w:rPr>
          <w:tab/>
        </w:r>
        <w:r>
          <w:rPr>
            <w:noProof/>
            <w:webHidden/>
          </w:rPr>
          <w:fldChar w:fldCharType="begin"/>
        </w:r>
        <w:r>
          <w:rPr>
            <w:noProof/>
            <w:webHidden/>
          </w:rPr>
          <w:instrText xml:space="preserve"> PAGEREF _Toc236489290 \h </w:instrText>
        </w:r>
        <w:r>
          <w:rPr>
            <w:noProof/>
            <w:webHidden/>
          </w:rPr>
        </w:r>
        <w:r>
          <w:rPr>
            <w:noProof/>
            <w:webHidden/>
          </w:rPr>
          <w:fldChar w:fldCharType="separate"/>
        </w:r>
        <w:r>
          <w:rPr>
            <w:noProof/>
            <w:webHidden/>
          </w:rPr>
          <w:t>3</w:t>
        </w:r>
        <w:r>
          <w:rPr>
            <w:noProof/>
            <w:webHidden/>
          </w:rPr>
          <w:fldChar w:fldCharType="end"/>
        </w:r>
      </w:hyperlink>
    </w:p>
    <w:p w14:paraId="10F9B071" w14:textId="166DEBF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91" w:history="1">
        <w:r w:rsidRPr="002A4FF7">
          <w:rPr>
            <w:rStyle w:val="Hyperlink"/>
            <w:noProof/>
            <w:lang w:val="fr-FR"/>
          </w:rPr>
          <w:t>6. Options technologiques avancées : SWAC et nucléaire</w:t>
        </w:r>
        <w:r>
          <w:rPr>
            <w:noProof/>
            <w:webHidden/>
          </w:rPr>
          <w:tab/>
        </w:r>
        <w:r>
          <w:rPr>
            <w:noProof/>
            <w:webHidden/>
          </w:rPr>
          <w:fldChar w:fldCharType="begin"/>
        </w:r>
        <w:r>
          <w:rPr>
            <w:noProof/>
            <w:webHidden/>
          </w:rPr>
          <w:instrText xml:space="preserve"> PAGEREF _Toc236489291 \h </w:instrText>
        </w:r>
        <w:r>
          <w:rPr>
            <w:noProof/>
            <w:webHidden/>
          </w:rPr>
        </w:r>
        <w:r>
          <w:rPr>
            <w:noProof/>
            <w:webHidden/>
          </w:rPr>
          <w:fldChar w:fldCharType="separate"/>
        </w:r>
        <w:r>
          <w:rPr>
            <w:noProof/>
            <w:webHidden/>
          </w:rPr>
          <w:t>4</w:t>
        </w:r>
        <w:r>
          <w:rPr>
            <w:noProof/>
            <w:webHidden/>
          </w:rPr>
          <w:fldChar w:fldCharType="end"/>
        </w:r>
      </w:hyperlink>
    </w:p>
    <w:p w14:paraId="55F29320" w14:textId="652058F4"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2" w:history="1">
        <w:r w:rsidRPr="002A4FF7">
          <w:rPr>
            <w:rStyle w:val="Hyperlink"/>
            <w:noProof/>
            <w:lang w:val="fr-FR"/>
          </w:rPr>
          <w:t>6.1 District Cooling System (déjà engagé) et potentiel SWAC</w:t>
        </w:r>
        <w:r>
          <w:rPr>
            <w:noProof/>
            <w:webHidden/>
          </w:rPr>
          <w:tab/>
        </w:r>
        <w:r>
          <w:rPr>
            <w:noProof/>
            <w:webHidden/>
          </w:rPr>
          <w:fldChar w:fldCharType="begin"/>
        </w:r>
        <w:r>
          <w:rPr>
            <w:noProof/>
            <w:webHidden/>
          </w:rPr>
          <w:instrText xml:space="preserve"> PAGEREF _Toc236489292 \h </w:instrText>
        </w:r>
        <w:r>
          <w:rPr>
            <w:noProof/>
            <w:webHidden/>
          </w:rPr>
        </w:r>
        <w:r>
          <w:rPr>
            <w:noProof/>
            <w:webHidden/>
          </w:rPr>
          <w:fldChar w:fldCharType="separate"/>
        </w:r>
        <w:r>
          <w:rPr>
            <w:noProof/>
            <w:webHidden/>
          </w:rPr>
          <w:t>4</w:t>
        </w:r>
        <w:r>
          <w:rPr>
            <w:noProof/>
            <w:webHidden/>
          </w:rPr>
          <w:fldChar w:fldCharType="end"/>
        </w:r>
      </w:hyperlink>
    </w:p>
    <w:p w14:paraId="560315AE" w14:textId="460E421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3" w:history="1">
        <w:r w:rsidRPr="002A4FF7">
          <w:rPr>
            <w:rStyle w:val="Hyperlink"/>
            <w:noProof/>
            <w:lang w:val="fr-FR"/>
          </w:rPr>
          <w:t>6.2 Nucléaire : SMR, thorium et options flottantes / îles</w:t>
        </w:r>
        <w:r>
          <w:rPr>
            <w:noProof/>
            <w:webHidden/>
          </w:rPr>
          <w:tab/>
        </w:r>
        <w:r>
          <w:rPr>
            <w:noProof/>
            <w:webHidden/>
          </w:rPr>
          <w:fldChar w:fldCharType="begin"/>
        </w:r>
        <w:r>
          <w:rPr>
            <w:noProof/>
            <w:webHidden/>
          </w:rPr>
          <w:instrText xml:space="preserve"> PAGEREF _Toc236489293 \h </w:instrText>
        </w:r>
        <w:r>
          <w:rPr>
            <w:noProof/>
            <w:webHidden/>
          </w:rPr>
        </w:r>
        <w:r>
          <w:rPr>
            <w:noProof/>
            <w:webHidden/>
          </w:rPr>
          <w:fldChar w:fldCharType="separate"/>
        </w:r>
        <w:r>
          <w:rPr>
            <w:noProof/>
            <w:webHidden/>
          </w:rPr>
          <w:t>4</w:t>
        </w:r>
        <w:r>
          <w:rPr>
            <w:noProof/>
            <w:webHidden/>
          </w:rPr>
          <w:fldChar w:fldCharType="end"/>
        </w:r>
      </w:hyperlink>
    </w:p>
    <w:p w14:paraId="4F6392FF" w14:textId="2E31883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4" w:history="1">
        <w:r w:rsidRPr="002A4FF7">
          <w:rPr>
            <w:rStyle w:val="Hyperlink"/>
            <w:noProof/>
            <w:lang w:val="fr-FR"/>
          </w:rPr>
          <w:t>6.3 Non-prolifération et cadre international</w:t>
        </w:r>
        <w:r>
          <w:rPr>
            <w:noProof/>
            <w:webHidden/>
          </w:rPr>
          <w:tab/>
        </w:r>
        <w:r>
          <w:rPr>
            <w:noProof/>
            <w:webHidden/>
          </w:rPr>
          <w:fldChar w:fldCharType="begin"/>
        </w:r>
        <w:r>
          <w:rPr>
            <w:noProof/>
            <w:webHidden/>
          </w:rPr>
          <w:instrText xml:space="preserve"> PAGEREF _Toc236489294 \h </w:instrText>
        </w:r>
        <w:r>
          <w:rPr>
            <w:noProof/>
            <w:webHidden/>
          </w:rPr>
        </w:r>
        <w:r>
          <w:rPr>
            <w:noProof/>
            <w:webHidden/>
          </w:rPr>
          <w:fldChar w:fldCharType="separate"/>
        </w:r>
        <w:r>
          <w:rPr>
            <w:noProof/>
            <w:webHidden/>
          </w:rPr>
          <w:t>4</w:t>
        </w:r>
        <w:r>
          <w:rPr>
            <w:noProof/>
            <w:webHidden/>
          </w:rPr>
          <w:fldChar w:fldCharType="end"/>
        </w:r>
      </w:hyperlink>
    </w:p>
    <w:p w14:paraId="3A0B11DC" w14:textId="5454252D"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95" w:history="1">
        <w:r w:rsidRPr="002A4FF7">
          <w:rPr>
            <w:rStyle w:val="Hyperlink"/>
            <w:noProof/>
            <w:lang w:val="fr-FR"/>
          </w:rPr>
          <w:t>7. Synthèse et perspectives</w:t>
        </w:r>
        <w:r>
          <w:rPr>
            <w:noProof/>
            <w:webHidden/>
          </w:rPr>
          <w:tab/>
        </w:r>
        <w:r>
          <w:rPr>
            <w:noProof/>
            <w:webHidden/>
          </w:rPr>
          <w:fldChar w:fldCharType="begin"/>
        </w:r>
        <w:r>
          <w:rPr>
            <w:noProof/>
            <w:webHidden/>
          </w:rPr>
          <w:instrText xml:space="preserve"> PAGEREF _Toc236489295 \h </w:instrText>
        </w:r>
        <w:r>
          <w:rPr>
            <w:noProof/>
            <w:webHidden/>
          </w:rPr>
        </w:r>
        <w:r>
          <w:rPr>
            <w:noProof/>
            <w:webHidden/>
          </w:rPr>
          <w:fldChar w:fldCharType="separate"/>
        </w:r>
        <w:r>
          <w:rPr>
            <w:noProof/>
            <w:webHidden/>
          </w:rPr>
          <w:t>4</w:t>
        </w:r>
        <w:r>
          <w:rPr>
            <w:noProof/>
            <w:webHidden/>
          </w:rPr>
          <w:fldChar w:fldCharType="end"/>
        </w:r>
      </w:hyperlink>
    </w:p>
    <w:p w14:paraId="55B8FADD" w14:textId="4C940C0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296" w:history="1">
        <w:r w:rsidRPr="002A4FF7">
          <w:rPr>
            <w:rStyle w:val="Hyperlink"/>
            <w:noProof/>
            <w:lang w:val="fr-FR"/>
          </w:rPr>
          <w:t>8. Références factuelles (URLs)</w:t>
        </w:r>
        <w:r>
          <w:rPr>
            <w:noProof/>
            <w:webHidden/>
          </w:rPr>
          <w:tab/>
        </w:r>
        <w:r>
          <w:rPr>
            <w:noProof/>
            <w:webHidden/>
          </w:rPr>
          <w:fldChar w:fldCharType="begin"/>
        </w:r>
        <w:r>
          <w:rPr>
            <w:noProof/>
            <w:webHidden/>
          </w:rPr>
          <w:instrText xml:space="preserve"> PAGEREF _Toc236489296 \h </w:instrText>
        </w:r>
        <w:r>
          <w:rPr>
            <w:noProof/>
            <w:webHidden/>
          </w:rPr>
        </w:r>
        <w:r>
          <w:rPr>
            <w:noProof/>
            <w:webHidden/>
          </w:rPr>
          <w:fldChar w:fldCharType="separate"/>
        </w:r>
        <w:r>
          <w:rPr>
            <w:noProof/>
            <w:webHidden/>
          </w:rPr>
          <w:t>5</w:t>
        </w:r>
        <w:r>
          <w:rPr>
            <w:noProof/>
            <w:webHidden/>
          </w:rPr>
          <w:fldChar w:fldCharType="end"/>
        </w:r>
      </w:hyperlink>
    </w:p>
    <w:p w14:paraId="347CD73D" w14:textId="7B49E58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7" w:history="1">
        <w:r w:rsidRPr="002A4FF7">
          <w:rPr>
            <w:rStyle w:val="Hyperlink"/>
            <w:noProof/>
            <w:lang w:val="fr-FR"/>
          </w:rPr>
          <w:t>Sources officielles Nusantara / IKN</w:t>
        </w:r>
        <w:r>
          <w:rPr>
            <w:noProof/>
            <w:webHidden/>
          </w:rPr>
          <w:tab/>
        </w:r>
        <w:r>
          <w:rPr>
            <w:noProof/>
            <w:webHidden/>
          </w:rPr>
          <w:fldChar w:fldCharType="begin"/>
        </w:r>
        <w:r>
          <w:rPr>
            <w:noProof/>
            <w:webHidden/>
          </w:rPr>
          <w:instrText xml:space="preserve"> PAGEREF _Toc236489297 \h </w:instrText>
        </w:r>
        <w:r>
          <w:rPr>
            <w:noProof/>
            <w:webHidden/>
          </w:rPr>
        </w:r>
        <w:r>
          <w:rPr>
            <w:noProof/>
            <w:webHidden/>
          </w:rPr>
          <w:fldChar w:fldCharType="separate"/>
        </w:r>
        <w:r>
          <w:rPr>
            <w:noProof/>
            <w:webHidden/>
          </w:rPr>
          <w:t>5</w:t>
        </w:r>
        <w:r>
          <w:rPr>
            <w:noProof/>
            <w:webHidden/>
          </w:rPr>
          <w:fldChar w:fldCharType="end"/>
        </w:r>
      </w:hyperlink>
    </w:p>
    <w:p w14:paraId="345A08AA" w14:textId="24D96D24"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8" w:history="1">
        <w:r w:rsidRPr="002A4FF7">
          <w:rPr>
            <w:rStyle w:val="Hyperlink"/>
            <w:noProof/>
            <w:lang w:val="fr-FR"/>
          </w:rPr>
          <w:t>Énergie et District Cooling IKN</w:t>
        </w:r>
        <w:r>
          <w:rPr>
            <w:noProof/>
            <w:webHidden/>
          </w:rPr>
          <w:tab/>
        </w:r>
        <w:r>
          <w:rPr>
            <w:noProof/>
            <w:webHidden/>
          </w:rPr>
          <w:fldChar w:fldCharType="begin"/>
        </w:r>
        <w:r>
          <w:rPr>
            <w:noProof/>
            <w:webHidden/>
          </w:rPr>
          <w:instrText xml:space="preserve"> PAGEREF _Toc236489298 \h </w:instrText>
        </w:r>
        <w:r>
          <w:rPr>
            <w:noProof/>
            <w:webHidden/>
          </w:rPr>
        </w:r>
        <w:r>
          <w:rPr>
            <w:noProof/>
            <w:webHidden/>
          </w:rPr>
          <w:fldChar w:fldCharType="separate"/>
        </w:r>
        <w:r>
          <w:rPr>
            <w:noProof/>
            <w:webHidden/>
          </w:rPr>
          <w:t>5</w:t>
        </w:r>
        <w:r>
          <w:rPr>
            <w:noProof/>
            <w:webHidden/>
          </w:rPr>
          <w:fldChar w:fldCharType="end"/>
        </w:r>
      </w:hyperlink>
    </w:p>
    <w:p w14:paraId="7D0B42DD" w14:textId="6BEF52A8"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299" w:history="1">
        <w:r w:rsidRPr="002A4FF7">
          <w:rPr>
            <w:rStyle w:val="Hyperlink"/>
            <w:noProof/>
            <w:lang w:val="fr-FR"/>
          </w:rPr>
          <w:t>Jakarta – Subsidence, inondations, climat</w:t>
        </w:r>
        <w:r>
          <w:rPr>
            <w:noProof/>
            <w:webHidden/>
          </w:rPr>
          <w:tab/>
        </w:r>
        <w:r>
          <w:rPr>
            <w:noProof/>
            <w:webHidden/>
          </w:rPr>
          <w:fldChar w:fldCharType="begin"/>
        </w:r>
        <w:r>
          <w:rPr>
            <w:noProof/>
            <w:webHidden/>
          </w:rPr>
          <w:instrText xml:space="preserve"> PAGEREF _Toc236489299 \h </w:instrText>
        </w:r>
        <w:r>
          <w:rPr>
            <w:noProof/>
            <w:webHidden/>
          </w:rPr>
        </w:r>
        <w:r>
          <w:rPr>
            <w:noProof/>
            <w:webHidden/>
          </w:rPr>
          <w:fldChar w:fldCharType="separate"/>
        </w:r>
        <w:r>
          <w:rPr>
            <w:noProof/>
            <w:webHidden/>
          </w:rPr>
          <w:t>5</w:t>
        </w:r>
        <w:r>
          <w:rPr>
            <w:noProof/>
            <w:webHidden/>
          </w:rPr>
          <w:fldChar w:fldCharType="end"/>
        </w:r>
      </w:hyperlink>
    </w:p>
    <w:p w14:paraId="341101B6" w14:textId="3A0EA44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00" w:history="1">
        <w:r w:rsidRPr="002A4FF7">
          <w:rPr>
            <w:rStyle w:val="Hyperlink"/>
            <w:noProof/>
            <w:lang w:val="fr-FR"/>
          </w:rPr>
          <w:t>Singapour – Énergie et UHI</w:t>
        </w:r>
        <w:r>
          <w:rPr>
            <w:noProof/>
            <w:webHidden/>
          </w:rPr>
          <w:tab/>
        </w:r>
        <w:r>
          <w:rPr>
            <w:noProof/>
            <w:webHidden/>
          </w:rPr>
          <w:fldChar w:fldCharType="begin"/>
        </w:r>
        <w:r>
          <w:rPr>
            <w:noProof/>
            <w:webHidden/>
          </w:rPr>
          <w:instrText xml:space="preserve"> PAGEREF _Toc236489300 \h </w:instrText>
        </w:r>
        <w:r>
          <w:rPr>
            <w:noProof/>
            <w:webHidden/>
          </w:rPr>
        </w:r>
        <w:r>
          <w:rPr>
            <w:noProof/>
            <w:webHidden/>
          </w:rPr>
          <w:fldChar w:fldCharType="separate"/>
        </w:r>
        <w:r>
          <w:rPr>
            <w:noProof/>
            <w:webHidden/>
          </w:rPr>
          <w:t>5</w:t>
        </w:r>
        <w:r>
          <w:rPr>
            <w:noProof/>
            <w:webHidden/>
          </w:rPr>
          <w:fldChar w:fldCharType="end"/>
        </w:r>
      </w:hyperlink>
    </w:p>
    <w:p w14:paraId="0B7B6C7A" w14:textId="2FD6E52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01" w:history="1">
        <w:r w:rsidRPr="002A4FF7">
          <w:rPr>
            <w:rStyle w:val="Hyperlink"/>
            <w:noProof/>
            <w:lang w:val="fr-FR"/>
          </w:rPr>
          <w:t>Nucléaire Indonésie</w:t>
        </w:r>
        <w:r>
          <w:rPr>
            <w:noProof/>
            <w:webHidden/>
          </w:rPr>
          <w:tab/>
        </w:r>
        <w:r>
          <w:rPr>
            <w:noProof/>
            <w:webHidden/>
          </w:rPr>
          <w:fldChar w:fldCharType="begin"/>
        </w:r>
        <w:r>
          <w:rPr>
            <w:noProof/>
            <w:webHidden/>
          </w:rPr>
          <w:instrText xml:space="preserve"> PAGEREF _Toc236489301 \h </w:instrText>
        </w:r>
        <w:r>
          <w:rPr>
            <w:noProof/>
            <w:webHidden/>
          </w:rPr>
        </w:r>
        <w:r>
          <w:rPr>
            <w:noProof/>
            <w:webHidden/>
          </w:rPr>
          <w:fldChar w:fldCharType="separate"/>
        </w:r>
        <w:r>
          <w:rPr>
            <w:noProof/>
            <w:webHidden/>
          </w:rPr>
          <w:t>5</w:t>
        </w:r>
        <w:r>
          <w:rPr>
            <w:noProof/>
            <w:webHidden/>
          </w:rPr>
          <w:fldChar w:fldCharType="end"/>
        </w:r>
      </w:hyperlink>
    </w:p>
    <w:p w14:paraId="18FD3121" w14:textId="30241460"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02" w:history="1">
        <w:r w:rsidRPr="002A4FF7">
          <w:rPr>
            <w:rStyle w:val="Hyperlink"/>
            <w:noProof/>
            <w:lang w:val="fr-FR"/>
          </w:rPr>
          <w:t>SWAC (Seawater Air Conditioning)</w:t>
        </w:r>
        <w:r>
          <w:rPr>
            <w:noProof/>
            <w:webHidden/>
          </w:rPr>
          <w:tab/>
        </w:r>
        <w:r>
          <w:rPr>
            <w:noProof/>
            <w:webHidden/>
          </w:rPr>
          <w:fldChar w:fldCharType="begin"/>
        </w:r>
        <w:r>
          <w:rPr>
            <w:noProof/>
            <w:webHidden/>
          </w:rPr>
          <w:instrText xml:space="preserve"> PAGEREF _Toc236489302 \h </w:instrText>
        </w:r>
        <w:r>
          <w:rPr>
            <w:noProof/>
            <w:webHidden/>
          </w:rPr>
        </w:r>
        <w:r>
          <w:rPr>
            <w:noProof/>
            <w:webHidden/>
          </w:rPr>
          <w:fldChar w:fldCharType="separate"/>
        </w:r>
        <w:r>
          <w:rPr>
            <w:noProof/>
            <w:webHidden/>
          </w:rPr>
          <w:t>5</w:t>
        </w:r>
        <w:r>
          <w:rPr>
            <w:noProof/>
            <w:webHidden/>
          </w:rPr>
          <w:fldChar w:fldCharType="end"/>
        </w:r>
      </w:hyperlink>
    </w:p>
    <w:p w14:paraId="44528A4B" w14:textId="565B08B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03" w:history="1">
        <w:r w:rsidRPr="002A4FF7">
          <w:rPr>
            <w:rStyle w:val="Hyperlink"/>
            <w:noProof/>
            <w:lang w:val="fr-FR"/>
          </w:rPr>
          <w:t>Autres</w:t>
        </w:r>
        <w:r>
          <w:rPr>
            <w:noProof/>
            <w:webHidden/>
          </w:rPr>
          <w:tab/>
        </w:r>
        <w:r>
          <w:rPr>
            <w:noProof/>
            <w:webHidden/>
          </w:rPr>
          <w:fldChar w:fldCharType="begin"/>
        </w:r>
        <w:r>
          <w:rPr>
            <w:noProof/>
            <w:webHidden/>
          </w:rPr>
          <w:instrText xml:space="preserve"> PAGEREF _Toc236489303 \h </w:instrText>
        </w:r>
        <w:r>
          <w:rPr>
            <w:noProof/>
            <w:webHidden/>
          </w:rPr>
        </w:r>
        <w:r>
          <w:rPr>
            <w:noProof/>
            <w:webHidden/>
          </w:rPr>
          <w:fldChar w:fldCharType="separate"/>
        </w:r>
        <w:r>
          <w:rPr>
            <w:noProof/>
            <w:webHidden/>
          </w:rPr>
          <w:t>5</w:t>
        </w:r>
        <w:r>
          <w:rPr>
            <w:noProof/>
            <w:webHidden/>
          </w:rPr>
          <w:fldChar w:fldCharType="end"/>
        </w:r>
      </w:hyperlink>
    </w:p>
    <w:p w14:paraId="2D9027C7" w14:textId="58698455"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04" w:history="1">
        <w:r w:rsidRPr="002A4FF7">
          <w:rPr>
            <w:rStyle w:val="Hyperlink"/>
            <w:noProof/>
            <w:lang w:val="fr-FR"/>
          </w:rPr>
          <w:t>9. Index complet</w:t>
        </w:r>
        <w:r>
          <w:rPr>
            <w:noProof/>
            <w:webHidden/>
          </w:rPr>
          <w:tab/>
        </w:r>
        <w:r>
          <w:rPr>
            <w:noProof/>
            <w:webHidden/>
          </w:rPr>
          <w:fldChar w:fldCharType="begin"/>
        </w:r>
        <w:r>
          <w:rPr>
            <w:noProof/>
            <w:webHidden/>
          </w:rPr>
          <w:instrText xml:space="preserve"> PAGEREF _Toc236489304 \h </w:instrText>
        </w:r>
        <w:r>
          <w:rPr>
            <w:noProof/>
            <w:webHidden/>
          </w:rPr>
        </w:r>
        <w:r>
          <w:rPr>
            <w:noProof/>
            <w:webHidden/>
          </w:rPr>
          <w:fldChar w:fldCharType="separate"/>
        </w:r>
        <w:r>
          <w:rPr>
            <w:noProof/>
            <w:webHidden/>
          </w:rPr>
          <w:t>6</w:t>
        </w:r>
        <w:r>
          <w:rPr>
            <w:noProof/>
            <w:webHidden/>
          </w:rPr>
          <w:fldChar w:fldCharType="end"/>
        </w:r>
      </w:hyperlink>
    </w:p>
    <w:p w14:paraId="0E52D08B" w14:textId="1131D669"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305" w:history="1">
        <w:r w:rsidRPr="002A4FF7">
          <w:rPr>
            <w:rStyle w:val="Hyperlink"/>
            <w:noProof/>
            <w:lang w:val="fr-FR"/>
          </w:rPr>
          <w:t>ANNEXE 0 : Amélioration de la base du projet de base Nusantara par contribution universelle</w:t>
        </w:r>
        <w:r>
          <w:rPr>
            <w:noProof/>
            <w:webHidden/>
          </w:rPr>
          <w:tab/>
        </w:r>
        <w:r>
          <w:rPr>
            <w:noProof/>
            <w:webHidden/>
          </w:rPr>
          <w:fldChar w:fldCharType="begin"/>
        </w:r>
        <w:r>
          <w:rPr>
            <w:noProof/>
            <w:webHidden/>
          </w:rPr>
          <w:instrText xml:space="preserve"> PAGEREF _Toc236489305 \h </w:instrText>
        </w:r>
        <w:r>
          <w:rPr>
            <w:noProof/>
            <w:webHidden/>
          </w:rPr>
        </w:r>
        <w:r>
          <w:rPr>
            <w:noProof/>
            <w:webHidden/>
          </w:rPr>
          <w:fldChar w:fldCharType="separate"/>
        </w:r>
        <w:r>
          <w:rPr>
            <w:noProof/>
            <w:webHidden/>
          </w:rPr>
          <w:t>7</w:t>
        </w:r>
        <w:r>
          <w:rPr>
            <w:noProof/>
            <w:webHidden/>
          </w:rPr>
          <w:fldChar w:fldCharType="end"/>
        </w:r>
      </w:hyperlink>
    </w:p>
    <w:p w14:paraId="1A171068" w14:textId="223A3CA0"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306" w:history="1">
        <w:r w:rsidRPr="002A4FF7">
          <w:rPr>
            <w:rStyle w:val="Hyperlink"/>
            <w:noProof/>
            <w:lang w:val="fr-FR"/>
          </w:rPr>
          <w:t>SPÉCIFICATION FONCTIONNELLE: CrowdSupport Nusantara</w:t>
        </w:r>
        <w:r>
          <w:rPr>
            <w:noProof/>
            <w:webHidden/>
          </w:rPr>
          <w:tab/>
        </w:r>
        <w:r>
          <w:rPr>
            <w:noProof/>
            <w:webHidden/>
          </w:rPr>
          <w:fldChar w:fldCharType="begin"/>
        </w:r>
        <w:r>
          <w:rPr>
            <w:noProof/>
            <w:webHidden/>
          </w:rPr>
          <w:instrText xml:space="preserve"> PAGEREF _Toc236489306 \h </w:instrText>
        </w:r>
        <w:r>
          <w:rPr>
            <w:noProof/>
            <w:webHidden/>
          </w:rPr>
        </w:r>
        <w:r>
          <w:rPr>
            <w:noProof/>
            <w:webHidden/>
          </w:rPr>
          <w:fldChar w:fldCharType="separate"/>
        </w:r>
        <w:r>
          <w:rPr>
            <w:noProof/>
            <w:webHidden/>
          </w:rPr>
          <w:t>10</w:t>
        </w:r>
        <w:r>
          <w:rPr>
            <w:noProof/>
            <w:webHidden/>
          </w:rPr>
          <w:fldChar w:fldCharType="end"/>
        </w:r>
      </w:hyperlink>
    </w:p>
    <w:p w14:paraId="01DD2A32" w14:textId="0DF2BA8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07" w:history="1">
        <w:r w:rsidRPr="002A4FF7">
          <w:rPr>
            <w:rStyle w:val="Hyperlink"/>
            <w:noProof/>
            <w:lang w:val="fr-FR"/>
          </w:rPr>
          <w:t>1. Vision et objectifs</w:t>
        </w:r>
        <w:r>
          <w:rPr>
            <w:noProof/>
            <w:webHidden/>
          </w:rPr>
          <w:tab/>
        </w:r>
        <w:r>
          <w:rPr>
            <w:noProof/>
            <w:webHidden/>
          </w:rPr>
          <w:fldChar w:fldCharType="begin"/>
        </w:r>
        <w:r>
          <w:rPr>
            <w:noProof/>
            <w:webHidden/>
          </w:rPr>
          <w:instrText xml:space="preserve"> PAGEREF _Toc236489307 \h </w:instrText>
        </w:r>
        <w:r>
          <w:rPr>
            <w:noProof/>
            <w:webHidden/>
          </w:rPr>
        </w:r>
        <w:r>
          <w:rPr>
            <w:noProof/>
            <w:webHidden/>
          </w:rPr>
          <w:fldChar w:fldCharType="separate"/>
        </w:r>
        <w:r>
          <w:rPr>
            <w:noProof/>
            <w:webHidden/>
          </w:rPr>
          <w:t>10</w:t>
        </w:r>
        <w:r>
          <w:rPr>
            <w:noProof/>
            <w:webHidden/>
          </w:rPr>
          <w:fldChar w:fldCharType="end"/>
        </w:r>
      </w:hyperlink>
    </w:p>
    <w:p w14:paraId="1CA86D6C" w14:textId="650F9DE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08" w:history="1">
        <w:r w:rsidRPr="002A4FF7">
          <w:rPr>
            <w:rStyle w:val="Hyperlink"/>
            <w:noProof/>
            <w:lang w:val="fr-FR"/>
          </w:rPr>
          <w:t>2. Rôles utilisateurs et permissions</w:t>
        </w:r>
        <w:r>
          <w:rPr>
            <w:noProof/>
            <w:webHidden/>
          </w:rPr>
          <w:tab/>
        </w:r>
        <w:r>
          <w:rPr>
            <w:noProof/>
            <w:webHidden/>
          </w:rPr>
          <w:fldChar w:fldCharType="begin"/>
        </w:r>
        <w:r>
          <w:rPr>
            <w:noProof/>
            <w:webHidden/>
          </w:rPr>
          <w:instrText xml:space="preserve"> PAGEREF _Toc236489308 \h </w:instrText>
        </w:r>
        <w:r>
          <w:rPr>
            <w:noProof/>
            <w:webHidden/>
          </w:rPr>
        </w:r>
        <w:r>
          <w:rPr>
            <w:noProof/>
            <w:webHidden/>
          </w:rPr>
          <w:fldChar w:fldCharType="separate"/>
        </w:r>
        <w:r>
          <w:rPr>
            <w:noProof/>
            <w:webHidden/>
          </w:rPr>
          <w:t>10</w:t>
        </w:r>
        <w:r>
          <w:rPr>
            <w:noProof/>
            <w:webHidden/>
          </w:rPr>
          <w:fldChar w:fldCharType="end"/>
        </w:r>
      </w:hyperlink>
    </w:p>
    <w:p w14:paraId="047A96FE" w14:textId="7DFA715E"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09" w:history="1">
        <w:r w:rsidRPr="002A4FF7">
          <w:rPr>
            <w:rStyle w:val="Hyperlink"/>
            <w:noProof/>
            <w:lang w:val="fr-FR"/>
          </w:rPr>
          <w:t>2.1 Administrateur (François Dorléans)</w:t>
        </w:r>
        <w:r>
          <w:rPr>
            <w:noProof/>
            <w:webHidden/>
          </w:rPr>
          <w:tab/>
        </w:r>
        <w:r>
          <w:rPr>
            <w:noProof/>
            <w:webHidden/>
          </w:rPr>
          <w:fldChar w:fldCharType="begin"/>
        </w:r>
        <w:r>
          <w:rPr>
            <w:noProof/>
            <w:webHidden/>
          </w:rPr>
          <w:instrText xml:space="preserve"> PAGEREF _Toc236489309 \h </w:instrText>
        </w:r>
        <w:r>
          <w:rPr>
            <w:noProof/>
            <w:webHidden/>
          </w:rPr>
        </w:r>
        <w:r>
          <w:rPr>
            <w:noProof/>
            <w:webHidden/>
          </w:rPr>
          <w:fldChar w:fldCharType="separate"/>
        </w:r>
        <w:r>
          <w:rPr>
            <w:noProof/>
            <w:webHidden/>
          </w:rPr>
          <w:t>10</w:t>
        </w:r>
        <w:r>
          <w:rPr>
            <w:noProof/>
            <w:webHidden/>
          </w:rPr>
          <w:fldChar w:fldCharType="end"/>
        </w:r>
      </w:hyperlink>
    </w:p>
    <w:p w14:paraId="6DFF2EB7" w14:textId="18F4320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0" w:history="1">
        <w:r w:rsidRPr="002A4FF7">
          <w:rPr>
            <w:rStyle w:val="Hyperlink"/>
            <w:noProof/>
            <w:lang w:val="fr-FR"/>
          </w:rPr>
          <w:t>2.2 Sage (usager sage)</w:t>
        </w:r>
        <w:r>
          <w:rPr>
            <w:noProof/>
            <w:webHidden/>
          </w:rPr>
          <w:tab/>
        </w:r>
        <w:r>
          <w:rPr>
            <w:noProof/>
            <w:webHidden/>
          </w:rPr>
          <w:fldChar w:fldCharType="begin"/>
        </w:r>
        <w:r>
          <w:rPr>
            <w:noProof/>
            <w:webHidden/>
          </w:rPr>
          <w:instrText xml:space="preserve"> PAGEREF _Toc236489310 \h </w:instrText>
        </w:r>
        <w:r>
          <w:rPr>
            <w:noProof/>
            <w:webHidden/>
          </w:rPr>
        </w:r>
        <w:r>
          <w:rPr>
            <w:noProof/>
            <w:webHidden/>
          </w:rPr>
          <w:fldChar w:fldCharType="separate"/>
        </w:r>
        <w:r>
          <w:rPr>
            <w:noProof/>
            <w:webHidden/>
          </w:rPr>
          <w:t>10</w:t>
        </w:r>
        <w:r>
          <w:rPr>
            <w:noProof/>
            <w:webHidden/>
          </w:rPr>
          <w:fldChar w:fldCharType="end"/>
        </w:r>
      </w:hyperlink>
    </w:p>
    <w:p w14:paraId="71B01545" w14:textId="4543A4A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1" w:history="1">
        <w:r w:rsidRPr="002A4FF7">
          <w:rPr>
            <w:rStyle w:val="Hyperlink"/>
            <w:noProof/>
            <w:lang w:val="fr-FR"/>
          </w:rPr>
          <w:t>2.3 Contributeur (profil payant)</w:t>
        </w:r>
        <w:r>
          <w:rPr>
            <w:noProof/>
            <w:webHidden/>
          </w:rPr>
          <w:tab/>
        </w:r>
        <w:r>
          <w:rPr>
            <w:noProof/>
            <w:webHidden/>
          </w:rPr>
          <w:fldChar w:fldCharType="begin"/>
        </w:r>
        <w:r>
          <w:rPr>
            <w:noProof/>
            <w:webHidden/>
          </w:rPr>
          <w:instrText xml:space="preserve"> PAGEREF _Toc236489311 \h </w:instrText>
        </w:r>
        <w:r>
          <w:rPr>
            <w:noProof/>
            <w:webHidden/>
          </w:rPr>
        </w:r>
        <w:r>
          <w:rPr>
            <w:noProof/>
            <w:webHidden/>
          </w:rPr>
          <w:fldChar w:fldCharType="separate"/>
        </w:r>
        <w:r>
          <w:rPr>
            <w:noProof/>
            <w:webHidden/>
          </w:rPr>
          <w:t>10</w:t>
        </w:r>
        <w:r>
          <w:rPr>
            <w:noProof/>
            <w:webHidden/>
          </w:rPr>
          <w:fldChar w:fldCharType="end"/>
        </w:r>
      </w:hyperlink>
    </w:p>
    <w:p w14:paraId="0B2CDC66" w14:textId="55D9B288"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2" w:history="1">
        <w:r w:rsidRPr="002A4FF7">
          <w:rPr>
            <w:rStyle w:val="Hyperlink"/>
            <w:noProof/>
            <w:lang w:val="fr-FR"/>
          </w:rPr>
          <w:t>2.4 Visiteur / Guest</w:t>
        </w:r>
        <w:r>
          <w:rPr>
            <w:noProof/>
            <w:webHidden/>
          </w:rPr>
          <w:tab/>
        </w:r>
        <w:r>
          <w:rPr>
            <w:noProof/>
            <w:webHidden/>
          </w:rPr>
          <w:fldChar w:fldCharType="begin"/>
        </w:r>
        <w:r>
          <w:rPr>
            <w:noProof/>
            <w:webHidden/>
          </w:rPr>
          <w:instrText xml:space="preserve"> PAGEREF _Toc236489312 \h </w:instrText>
        </w:r>
        <w:r>
          <w:rPr>
            <w:noProof/>
            <w:webHidden/>
          </w:rPr>
        </w:r>
        <w:r>
          <w:rPr>
            <w:noProof/>
            <w:webHidden/>
          </w:rPr>
          <w:fldChar w:fldCharType="separate"/>
        </w:r>
        <w:r>
          <w:rPr>
            <w:noProof/>
            <w:webHidden/>
          </w:rPr>
          <w:t>10</w:t>
        </w:r>
        <w:r>
          <w:rPr>
            <w:noProof/>
            <w:webHidden/>
          </w:rPr>
          <w:fldChar w:fldCharType="end"/>
        </w:r>
      </w:hyperlink>
    </w:p>
    <w:p w14:paraId="530FF0EC" w14:textId="52783C9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3" w:history="1">
        <w:r w:rsidRPr="002A4FF7">
          <w:rPr>
            <w:rStyle w:val="Hyperlink"/>
            <w:noProof/>
            <w:lang w:val="fr-FR"/>
          </w:rPr>
          <w:t>3. Système de paiement, tarifs et tokens</w:t>
        </w:r>
        <w:r>
          <w:rPr>
            <w:noProof/>
            <w:webHidden/>
          </w:rPr>
          <w:tab/>
        </w:r>
        <w:r>
          <w:rPr>
            <w:noProof/>
            <w:webHidden/>
          </w:rPr>
          <w:fldChar w:fldCharType="begin"/>
        </w:r>
        <w:r>
          <w:rPr>
            <w:noProof/>
            <w:webHidden/>
          </w:rPr>
          <w:instrText xml:space="preserve"> PAGEREF _Toc236489313 \h </w:instrText>
        </w:r>
        <w:r>
          <w:rPr>
            <w:noProof/>
            <w:webHidden/>
          </w:rPr>
        </w:r>
        <w:r>
          <w:rPr>
            <w:noProof/>
            <w:webHidden/>
          </w:rPr>
          <w:fldChar w:fldCharType="separate"/>
        </w:r>
        <w:r>
          <w:rPr>
            <w:noProof/>
            <w:webHidden/>
          </w:rPr>
          <w:t>10</w:t>
        </w:r>
        <w:r>
          <w:rPr>
            <w:noProof/>
            <w:webHidden/>
          </w:rPr>
          <w:fldChar w:fldCharType="end"/>
        </w:r>
      </w:hyperlink>
    </w:p>
    <w:p w14:paraId="259A6C98" w14:textId="2383FFA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4" w:history="1">
        <w:r w:rsidRPr="002A4FF7">
          <w:rPr>
            <w:rStyle w:val="Hyperlink"/>
            <w:noProof/>
            <w:lang w:val="fr-FR"/>
          </w:rPr>
          <w:t>3.1 Fournisseurs de paiement recommandés (européens prioritaires)</w:t>
        </w:r>
        <w:r>
          <w:rPr>
            <w:noProof/>
            <w:webHidden/>
          </w:rPr>
          <w:tab/>
        </w:r>
        <w:r>
          <w:rPr>
            <w:noProof/>
            <w:webHidden/>
          </w:rPr>
          <w:fldChar w:fldCharType="begin"/>
        </w:r>
        <w:r>
          <w:rPr>
            <w:noProof/>
            <w:webHidden/>
          </w:rPr>
          <w:instrText xml:space="preserve"> PAGEREF _Toc236489314 \h </w:instrText>
        </w:r>
        <w:r>
          <w:rPr>
            <w:noProof/>
            <w:webHidden/>
          </w:rPr>
        </w:r>
        <w:r>
          <w:rPr>
            <w:noProof/>
            <w:webHidden/>
          </w:rPr>
          <w:fldChar w:fldCharType="separate"/>
        </w:r>
        <w:r>
          <w:rPr>
            <w:noProof/>
            <w:webHidden/>
          </w:rPr>
          <w:t>11</w:t>
        </w:r>
        <w:r>
          <w:rPr>
            <w:noProof/>
            <w:webHidden/>
          </w:rPr>
          <w:fldChar w:fldCharType="end"/>
        </w:r>
      </w:hyperlink>
    </w:p>
    <w:p w14:paraId="3044DB69" w14:textId="176028E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5" w:history="1">
        <w:r w:rsidRPr="002A4FF7">
          <w:rPr>
            <w:rStyle w:val="Hyperlink"/>
            <w:noProof/>
            <w:lang w:val="fr-FR"/>
          </w:rPr>
          <w:t>3.2 Structure tarifaire</w:t>
        </w:r>
        <w:r>
          <w:rPr>
            <w:noProof/>
            <w:webHidden/>
          </w:rPr>
          <w:tab/>
        </w:r>
        <w:r>
          <w:rPr>
            <w:noProof/>
            <w:webHidden/>
          </w:rPr>
          <w:fldChar w:fldCharType="begin"/>
        </w:r>
        <w:r>
          <w:rPr>
            <w:noProof/>
            <w:webHidden/>
          </w:rPr>
          <w:instrText xml:space="preserve"> PAGEREF _Toc236489315 \h </w:instrText>
        </w:r>
        <w:r>
          <w:rPr>
            <w:noProof/>
            <w:webHidden/>
          </w:rPr>
        </w:r>
        <w:r>
          <w:rPr>
            <w:noProof/>
            <w:webHidden/>
          </w:rPr>
          <w:fldChar w:fldCharType="separate"/>
        </w:r>
        <w:r>
          <w:rPr>
            <w:noProof/>
            <w:webHidden/>
          </w:rPr>
          <w:t>11</w:t>
        </w:r>
        <w:r>
          <w:rPr>
            <w:noProof/>
            <w:webHidden/>
          </w:rPr>
          <w:fldChar w:fldCharType="end"/>
        </w:r>
      </w:hyperlink>
    </w:p>
    <w:p w14:paraId="5CA21CF7" w14:textId="134223F6"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6" w:history="1">
        <w:r w:rsidRPr="002A4FF7">
          <w:rPr>
            <w:rStyle w:val="Hyperlink"/>
            <w:noProof/>
            <w:lang w:val="fr-FR"/>
          </w:rPr>
          <w:t>3.3 Index Token IA (transparence)</w:t>
        </w:r>
        <w:r>
          <w:rPr>
            <w:noProof/>
            <w:webHidden/>
          </w:rPr>
          <w:tab/>
        </w:r>
        <w:r>
          <w:rPr>
            <w:noProof/>
            <w:webHidden/>
          </w:rPr>
          <w:fldChar w:fldCharType="begin"/>
        </w:r>
        <w:r>
          <w:rPr>
            <w:noProof/>
            <w:webHidden/>
          </w:rPr>
          <w:instrText xml:space="preserve"> PAGEREF _Toc236489316 \h </w:instrText>
        </w:r>
        <w:r>
          <w:rPr>
            <w:noProof/>
            <w:webHidden/>
          </w:rPr>
        </w:r>
        <w:r>
          <w:rPr>
            <w:noProof/>
            <w:webHidden/>
          </w:rPr>
          <w:fldChar w:fldCharType="separate"/>
        </w:r>
        <w:r>
          <w:rPr>
            <w:noProof/>
            <w:webHidden/>
          </w:rPr>
          <w:t>11</w:t>
        </w:r>
        <w:r>
          <w:rPr>
            <w:noProof/>
            <w:webHidden/>
          </w:rPr>
          <w:fldChar w:fldCharType="end"/>
        </w:r>
      </w:hyperlink>
    </w:p>
    <w:p w14:paraId="523E170E" w14:textId="66A0C328"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7" w:history="1">
        <w:r w:rsidRPr="002A4FF7">
          <w:rPr>
            <w:rStyle w:val="Hyperlink"/>
            <w:noProof/>
            <w:lang w:val="fr-FR"/>
          </w:rPr>
          <w:t>3.4 Tunnel d’achat et période de réflexion (conception)</w:t>
        </w:r>
        <w:r>
          <w:rPr>
            <w:noProof/>
            <w:webHidden/>
          </w:rPr>
          <w:tab/>
        </w:r>
        <w:r>
          <w:rPr>
            <w:noProof/>
            <w:webHidden/>
          </w:rPr>
          <w:fldChar w:fldCharType="begin"/>
        </w:r>
        <w:r>
          <w:rPr>
            <w:noProof/>
            <w:webHidden/>
          </w:rPr>
          <w:instrText xml:space="preserve"> PAGEREF _Toc236489317 \h </w:instrText>
        </w:r>
        <w:r>
          <w:rPr>
            <w:noProof/>
            <w:webHidden/>
          </w:rPr>
        </w:r>
        <w:r>
          <w:rPr>
            <w:noProof/>
            <w:webHidden/>
          </w:rPr>
          <w:fldChar w:fldCharType="separate"/>
        </w:r>
        <w:r>
          <w:rPr>
            <w:noProof/>
            <w:webHidden/>
          </w:rPr>
          <w:t>11</w:t>
        </w:r>
        <w:r>
          <w:rPr>
            <w:noProof/>
            <w:webHidden/>
          </w:rPr>
          <w:fldChar w:fldCharType="end"/>
        </w:r>
      </w:hyperlink>
    </w:p>
    <w:p w14:paraId="3307606F" w14:textId="01EDF640"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8" w:history="1">
        <w:r w:rsidRPr="002A4FF7">
          <w:rPr>
            <w:rStyle w:val="Hyperlink"/>
            <w:noProof/>
            <w:lang w:val="fr-FR"/>
          </w:rPr>
          <w:t>4. Éditeur A3 assisté par le site (construction en couches)</w:t>
        </w:r>
        <w:r>
          <w:rPr>
            <w:noProof/>
            <w:webHidden/>
          </w:rPr>
          <w:tab/>
        </w:r>
        <w:r>
          <w:rPr>
            <w:noProof/>
            <w:webHidden/>
          </w:rPr>
          <w:fldChar w:fldCharType="begin"/>
        </w:r>
        <w:r>
          <w:rPr>
            <w:noProof/>
            <w:webHidden/>
          </w:rPr>
          <w:instrText xml:space="preserve"> PAGEREF _Toc236489318 \h </w:instrText>
        </w:r>
        <w:r>
          <w:rPr>
            <w:noProof/>
            <w:webHidden/>
          </w:rPr>
        </w:r>
        <w:r>
          <w:rPr>
            <w:noProof/>
            <w:webHidden/>
          </w:rPr>
          <w:fldChar w:fldCharType="separate"/>
        </w:r>
        <w:r>
          <w:rPr>
            <w:noProof/>
            <w:webHidden/>
          </w:rPr>
          <w:t>11</w:t>
        </w:r>
        <w:r>
          <w:rPr>
            <w:noProof/>
            <w:webHidden/>
          </w:rPr>
          <w:fldChar w:fldCharType="end"/>
        </w:r>
      </w:hyperlink>
    </w:p>
    <w:p w14:paraId="3D0B4ED4" w14:textId="7F8EE3C6"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19" w:history="1">
        <w:r w:rsidRPr="002A4FF7">
          <w:rPr>
            <w:rStyle w:val="Hyperlink"/>
            <w:noProof/>
            <w:lang w:val="fr-FR"/>
          </w:rPr>
          <w:t>4.1 Principe SWOT-PARE en 4 couches</w:t>
        </w:r>
        <w:r>
          <w:rPr>
            <w:noProof/>
            <w:webHidden/>
          </w:rPr>
          <w:tab/>
        </w:r>
        <w:r>
          <w:rPr>
            <w:noProof/>
            <w:webHidden/>
          </w:rPr>
          <w:fldChar w:fldCharType="begin"/>
        </w:r>
        <w:r>
          <w:rPr>
            <w:noProof/>
            <w:webHidden/>
          </w:rPr>
          <w:instrText xml:space="preserve"> PAGEREF _Toc236489319 \h </w:instrText>
        </w:r>
        <w:r>
          <w:rPr>
            <w:noProof/>
            <w:webHidden/>
          </w:rPr>
        </w:r>
        <w:r>
          <w:rPr>
            <w:noProof/>
            <w:webHidden/>
          </w:rPr>
          <w:fldChar w:fldCharType="separate"/>
        </w:r>
        <w:r>
          <w:rPr>
            <w:noProof/>
            <w:webHidden/>
          </w:rPr>
          <w:t>11</w:t>
        </w:r>
        <w:r>
          <w:rPr>
            <w:noProof/>
            <w:webHidden/>
          </w:rPr>
          <w:fldChar w:fldCharType="end"/>
        </w:r>
      </w:hyperlink>
    </w:p>
    <w:p w14:paraId="75DBDFF2" w14:textId="4F7A5130"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0" w:history="1">
        <w:r w:rsidRPr="002A4FF7">
          <w:rPr>
            <w:rStyle w:val="Hyperlink"/>
            <w:noProof/>
            <w:lang w:val="fr-FR"/>
          </w:rPr>
          <w:t>4.2 Multi-brouillons et versions</w:t>
        </w:r>
        <w:r>
          <w:rPr>
            <w:noProof/>
            <w:webHidden/>
          </w:rPr>
          <w:tab/>
        </w:r>
        <w:r>
          <w:rPr>
            <w:noProof/>
            <w:webHidden/>
          </w:rPr>
          <w:fldChar w:fldCharType="begin"/>
        </w:r>
        <w:r>
          <w:rPr>
            <w:noProof/>
            <w:webHidden/>
          </w:rPr>
          <w:instrText xml:space="preserve"> PAGEREF _Toc236489320 \h </w:instrText>
        </w:r>
        <w:r>
          <w:rPr>
            <w:noProof/>
            <w:webHidden/>
          </w:rPr>
        </w:r>
        <w:r>
          <w:rPr>
            <w:noProof/>
            <w:webHidden/>
          </w:rPr>
          <w:fldChar w:fldCharType="separate"/>
        </w:r>
        <w:r>
          <w:rPr>
            <w:noProof/>
            <w:webHidden/>
          </w:rPr>
          <w:t>11</w:t>
        </w:r>
        <w:r>
          <w:rPr>
            <w:noProof/>
            <w:webHidden/>
          </w:rPr>
          <w:fldChar w:fldCharType="end"/>
        </w:r>
      </w:hyperlink>
    </w:p>
    <w:p w14:paraId="0F2B4B51" w14:textId="113C51E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1" w:history="1">
        <w:r w:rsidRPr="002A4FF7">
          <w:rPr>
            <w:rStyle w:val="Hyperlink"/>
            <w:noProof/>
            <w:lang w:val="fr-FR"/>
          </w:rPr>
          <w:t>4.3 Attachement au document</w:t>
        </w:r>
        <w:r>
          <w:rPr>
            <w:noProof/>
            <w:webHidden/>
          </w:rPr>
          <w:tab/>
        </w:r>
        <w:r>
          <w:rPr>
            <w:noProof/>
            <w:webHidden/>
          </w:rPr>
          <w:fldChar w:fldCharType="begin"/>
        </w:r>
        <w:r>
          <w:rPr>
            <w:noProof/>
            <w:webHidden/>
          </w:rPr>
          <w:instrText xml:space="preserve"> PAGEREF _Toc236489321 \h </w:instrText>
        </w:r>
        <w:r>
          <w:rPr>
            <w:noProof/>
            <w:webHidden/>
          </w:rPr>
        </w:r>
        <w:r>
          <w:rPr>
            <w:noProof/>
            <w:webHidden/>
          </w:rPr>
          <w:fldChar w:fldCharType="separate"/>
        </w:r>
        <w:r>
          <w:rPr>
            <w:noProof/>
            <w:webHidden/>
          </w:rPr>
          <w:t>11</w:t>
        </w:r>
        <w:r>
          <w:rPr>
            <w:noProof/>
            <w:webHidden/>
          </w:rPr>
          <w:fldChar w:fldCharType="end"/>
        </w:r>
      </w:hyperlink>
    </w:p>
    <w:p w14:paraId="0AF51468" w14:textId="1DD7C82E"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2" w:history="1">
        <w:r w:rsidRPr="002A4FF7">
          <w:rPr>
            <w:rStyle w:val="Hyperlink"/>
            <w:noProof/>
            <w:lang w:val="fr-FR"/>
          </w:rPr>
          <w:t>5. Structure du document vivant (base Markdown)</w:t>
        </w:r>
        <w:r>
          <w:rPr>
            <w:noProof/>
            <w:webHidden/>
          </w:rPr>
          <w:tab/>
        </w:r>
        <w:r>
          <w:rPr>
            <w:noProof/>
            <w:webHidden/>
          </w:rPr>
          <w:fldChar w:fldCharType="begin"/>
        </w:r>
        <w:r>
          <w:rPr>
            <w:noProof/>
            <w:webHidden/>
          </w:rPr>
          <w:instrText xml:space="preserve"> PAGEREF _Toc236489322 \h </w:instrText>
        </w:r>
        <w:r>
          <w:rPr>
            <w:noProof/>
            <w:webHidden/>
          </w:rPr>
        </w:r>
        <w:r>
          <w:rPr>
            <w:noProof/>
            <w:webHidden/>
          </w:rPr>
          <w:fldChar w:fldCharType="separate"/>
        </w:r>
        <w:r>
          <w:rPr>
            <w:noProof/>
            <w:webHidden/>
          </w:rPr>
          <w:t>12</w:t>
        </w:r>
        <w:r>
          <w:rPr>
            <w:noProof/>
            <w:webHidden/>
          </w:rPr>
          <w:fldChar w:fldCharType="end"/>
        </w:r>
      </w:hyperlink>
    </w:p>
    <w:p w14:paraId="771C932C" w14:textId="4F4C1DCE"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3" w:history="1">
        <w:r w:rsidRPr="002A4FF7">
          <w:rPr>
            <w:rStyle w:val="Hyperlink"/>
            <w:noProof/>
            <w:lang w:val="fr-FR"/>
          </w:rPr>
          <w:t>5.1 Niveaux d’importance</w:t>
        </w:r>
        <w:r>
          <w:rPr>
            <w:noProof/>
            <w:webHidden/>
          </w:rPr>
          <w:tab/>
        </w:r>
        <w:r>
          <w:rPr>
            <w:noProof/>
            <w:webHidden/>
          </w:rPr>
          <w:fldChar w:fldCharType="begin"/>
        </w:r>
        <w:r>
          <w:rPr>
            <w:noProof/>
            <w:webHidden/>
          </w:rPr>
          <w:instrText xml:space="preserve"> PAGEREF _Toc236489323 \h </w:instrText>
        </w:r>
        <w:r>
          <w:rPr>
            <w:noProof/>
            <w:webHidden/>
          </w:rPr>
        </w:r>
        <w:r>
          <w:rPr>
            <w:noProof/>
            <w:webHidden/>
          </w:rPr>
          <w:fldChar w:fldCharType="separate"/>
        </w:r>
        <w:r>
          <w:rPr>
            <w:noProof/>
            <w:webHidden/>
          </w:rPr>
          <w:t>12</w:t>
        </w:r>
        <w:r>
          <w:rPr>
            <w:noProof/>
            <w:webHidden/>
          </w:rPr>
          <w:fldChar w:fldCharType="end"/>
        </w:r>
      </w:hyperlink>
    </w:p>
    <w:p w14:paraId="1E47046F" w14:textId="11E2B4B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4" w:history="1">
        <w:r w:rsidRPr="002A4FF7">
          <w:rPr>
            <w:rStyle w:val="Hyperlink"/>
            <w:noProof/>
            <w:lang w:val="fr-FR"/>
          </w:rPr>
          <w:t>5.2 Zones de parking</w:t>
        </w:r>
        <w:r>
          <w:rPr>
            <w:noProof/>
            <w:webHidden/>
          </w:rPr>
          <w:tab/>
        </w:r>
        <w:r>
          <w:rPr>
            <w:noProof/>
            <w:webHidden/>
          </w:rPr>
          <w:fldChar w:fldCharType="begin"/>
        </w:r>
        <w:r>
          <w:rPr>
            <w:noProof/>
            <w:webHidden/>
          </w:rPr>
          <w:instrText xml:space="preserve"> PAGEREF _Toc236489324 \h </w:instrText>
        </w:r>
        <w:r>
          <w:rPr>
            <w:noProof/>
            <w:webHidden/>
          </w:rPr>
        </w:r>
        <w:r>
          <w:rPr>
            <w:noProof/>
            <w:webHidden/>
          </w:rPr>
          <w:fldChar w:fldCharType="separate"/>
        </w:r>
        <w:r>
          <w:rPr>
            <w:noProof/>
            <w:webHidden/>
          </w:rPr>
          <w:t>12</w:t>
        </w:r>
        <w:r>
          <w:rPr>
            <w:noProof/>
            <w:webHidden/>
          </w:rPr>
          <w:fldChar w:fldCharType="end"/>
        </w:r>
      </w:hyperlink>
    </w:p>
    <w:p w14:paraId="2581DD22" w14:textId="3322A8CF"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5" w:history="1">
        <w:r w:rsidRPr="002A4FF7">
          <w:rPr>
            <w:rStyle w:val="Hyperlink"/>
            <w:noProof/>
            <w:lang w:val="fr-FR"/>
          </w:rPr>
          <w:t>6. Parcours de qualification Sage</w:t>
        </w:r>
        <w:r>
          <w:rPr>
            <w:noProof/>
            <w:webHidden/>
          </w:rPr>
          <w:tab/>
        </w:r>
        <w:r>
          <w:rPr>
            <w:noProof/>
            <w:webHidden/>
          </w:rPr>
          <w:fldChar w:fldCharType="begin"/>
        </w:r>
        <w:r>
          <w:rPr>
            <w:noProof/>
            <w:webHidden/>
          </w:rPr>
          <w:instrText xml:space="preserve"> PAGEREF _Toc236489325 \h </w:instrText>
        </w:r>
        <w:r>
          <w:rPr>
            <w:noProof/>
            <w:webHidden/>
          </w:rPr>
        </w:r>
        <w:r>
          <w:rPr>
            <w:noProof/>
            <w:webHidden/>
          </w:rPr>
          <w:fldChar w:fldCharType="separate"/>
        </w:r>
        <w:r>
          <w:rPr>
            <w:noProof/>
            <w:webHidden/>
          </w:rPr>
          <w:t>12</w:t>
        </w:r>
        <w:r>
          <w:rPr>
            <w:noProof/>
            <w:webHidden/>
          </w:rPr>
          <w:fldChar w:fldCharType="end"/>
        </w:r>
      </w:hyperlink>
    </w:p>
    <w:p w14:paraId="020D2DC8" w14:textId="11E0361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6" w:history="1">
        <w:r w:rsidRPr="002A4FF7">
          <w:rPr>
            <w:rStyle w:val="Hyperlink"/>
            <w:noProof/>
            <w:lang w:val="fr-FR"/>
          </w:rPr>
          <w:t>7. Dossier de maturation TRL</w:t>
        </w:r>
        <w:r>
          <w:rPr>
            <w:noProof/>
            <w:webHidden/>
          </w:rPr>
          <w:tab/>
        </w:r>
        <w:r>
          <w:rPr>
            <w:noProof/>
            <w:webHidden/>
          </w:rPr>
          <w:fldChar w:fldCharType="begin"/>
        </w:r>
        <w:r>
          <w:rPr>
            <w:noProof/>
            <w:webHidden/>
          </w:rPr>
          <w:instrText xml:space="preserve"> PAGEREF _Toc236489326 \h </w:instrText>
        </w:r>
        <w:r>
          <w:rPr>
            <w:noProof/>
            <w:webHidden/>
          </w:rPr>
        </w:r>
        <w:r>
          <w:rPr>
            <w:noProof/>
            <w:webHidden/>
          </w:rPr>
          <w:fldChar w:fldCharType="separate"/>
        </w:r>
        <w:r>
          <w:rPr>
            <w:noProof/>
            <w:webHidden/>
          </w:rPr>
          <w:t>12</w:t>
        </w:r>
        <w:r>
          <w:rPr>
            <w:noProof/>
            <w:webHidden/>
          </w:rPr>
          <w:fldChar w:fldCharType="end"/>
        </w:r>
      </w:hyperlink>
    </w:p>
    <w:p w14:paraId="4EA20F9F" w14:textId="40B89887"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7" w:history="1">
        <w:r w:rsidRPr="002A4FF7">
          <w:rPr>
            <w:rStyle w:val="Hyperlink"/>
            <w:noProof/>
            <w:lang w:val="fr-FR"/>
          </w:rPr>
          <w:t>8. Sécurité, 2FA et conformité RGPD</w:t>
        </w:r>
        <w:r>
          <w:rPr>
            <w:noProof/>
            <w:webHidden/>
          </w:rPr>
          <w:tab/>
        </w:r>
        <w:r>
          <w:rPr>
            <w:noProof/>
            <w:webHidden/>
          </w:rPr>
          <w:fldChar w:fldCharType="begin"/>
        </w:r>
        <w:r>
          <w:rPr>
            <w:noProof/>
            <w:webHidden/>
          </w:rPr>
          <w:instrText xml:space="preserve"> PAGEREF _Toc236489327 \h </w:instrText>
        </w:r>
        <w:r>
          <w:rPr>
            <w:noProof/>
            <w:webHidden/>
          </w:rPr>
        </w:r>
        <w:r>
          <w:rPr>
            <w:noProof/>
            <w:webHidden/>
          </w:rPr>
          <w:fldChar w:fldCharType="separate"/>
        </w:r>
        <w:r>
          <w:rPr>
            <w:noProof/>
            <w:webHidden/>
          </w:rPr>
          <w:t>12</w:t>
        </w:r>
        <w:r>
          <w:rPr>
            <w:noProof/>
            <w:webHidden/>
          </w:rPr>
          <w:fldChar w:fldCharType="end"/>
        </w:r>
      </w:hyperlink>
    </w:p>
    <w:p w14:paraId="3A3E28EC" w14:textId="619FBCC5"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8" w:history="1">
        <w:r w:rsidRPr="002A4FF7">
          <w:rPr>
            <w:rStyle w:val="Hyperlink"/>
            <w:noProof/>
            <w:lang w:val="fr-FR"/>
          </w:rPr>
          <w:t>9. Suggestions d’architecture technique (non prescriptives)</w:t>
        </w:r>
        <w:r>
          <w:rPr>
            <w:noProof/>
            <w:webHidden/>
          </w:rPr>
          <w:tab/>
        </w:r>
        <w:r>
          <w:rPr>
            <w:noProof/>
            <w:webHidden/>
          </w:rPr>
          <w:fldChar w:fldCharType="begin"/>
        </w:r>
        <w:r>
          <w:rPr>
            <w:noProof/>
            <w:webHidden/>
          </w:rPr>
          <w:instrText xml:space="preserve"> PAGEREF _Toc236489328 \h </w:instrText>
        </w:r>
        <w:r>
          <w:rPr>
            <w:noProof/>
            <w:webHidden/>
          </w:rPr>
        </w:r>
        <w:r>
          <w:rPr>
            <w:noProof/>
            <w:webHidden/>
          </w:rPr>
          <w:fldChar w:fldCharType="separate"/>
        </w:r>
        <w:r>
          <w:rPr>
            <w:noProof/>
            <w:webHidden/>
          </w:rPr>
          <w:t>12</w:t>
        </w:r>
        <w:r>
          <w:rPr>
            <w:noProof/>
            <w:webHidden/>
          </w:rPr>
          <w:fldChar w:fldCharType="end"/>
        </w:r>
      </w:hyperlink>
    </w:p>
    <w:p w14:paraId="7DB4AE43" w14:textId="1ED9A38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29" w:history="1">
        <w:r w:rsidRPr="002A4FF7">
          <w:rPr>
            <w:rStyle w:val="Hyperlink"/>
            <w:noProof/>
            <w:lang w:val="fr-FR"/>
          </w:rPr>
          <w:t>10. Prochaines étapes recommandées</w:t>
        </w:r>
        <w:r>
          <w:rPr>
            <w:noProof/>
            <w:webHidden/>
          </w:rPr>
          <w:tab/>
        </w:r>
        <w:r>
          <w:rPr>
            <w:noProof/>
            <w:webHidden/>
          </w:rPr>
          <w:fldChar w:fldCharType="begin"/>
        </w:r>
        <w:r>
          <w:rPr>
            <w:noProof/>
            <w:webHidden/>
          </w:rPr>
          <w:instrText xml:space="preserve"> PAGEREF _Toc236489329 \h </w:instrText>
        </w:r>
        <w:r>
          <w:rPr>
            <w:noProof/>
            <w:webHidden/>
          </w:rPr>
        </w:r>
        <w:r>
          <w:rPr>
            <w:noProof/>
            <w:webHidden/>
          </w:rPr>
          <w:fldChar w:fldCharType="separate"/>
        </w:r>
        <w:r>
          <w:rPr>
            <w:noProof/>
            <w:webHidden/>
          </w:rPr>
          <w:t>13</w:t>
        </w:r>
        <w:r>
          <w:rPr>
            <w:noProof/>
            <w:webHidden/>
          </w:rPr>
          <w:fldChar w:fldCharType="end"/>
        </w:r>
      </w:hyperlink>
    </w:p>
    <w:p w14:paraId="178E39F4" w14:textId="6DCB6B60"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30" w:history="1">
        <w:r w:rsidRPr="002A4FF7">
          <w:rPr>
            <w:rStyle w:val="Hyperlink"/>
            <w:rFonts w:ascii="Aptos" w:hAnsi="Aptos"/>
            <w:noProof/>
            <w:lang w:val="fr-FR"/>
          </w:rPr>
          <w:t>TRANSPARENCE ÉCONOMIQUE DE JAKARTA AGGLOMÉRATION</w:t>
        </w:r>
        <w:r>
          <w:rPr>
            <w:noProof/>
            <w:webHidden/>
          </w:rPr>
          <w:tab/>
        </w:r>
        <w:r>
          <w:rPr>
            <w:noProof/>
            <w:webHidden/>
          </w:rPr>
          <w:fldChar w:fldCharType="begin"/>
        </w:r>
        <w:r>
          <w:rPr>
            <w:noProof/>
            <w:webHidden/>
          </w:rPr>
          <w:instrText xml:space="preserve"> PAGEREF _Toc236489330 \h </w:instrText>
        </w:r>
        <w:r>
          <w:rPr>
            <w:noProof/>
            <w:webHidden/>
          </w:rPr>
        </w:r>
        <w:r>
          <w:rPr>
            <w:noProof/>
            <w:webHidden/>
          </w:rPr>
          <w:fldChar w:fldCharType="separate"/>
        </w:r>
        <w:r>
          <w:rPr>
            <w:noProof/>
            <w:webHidden/>
          </w:rPr>
          <w:t>14</w:t>
        </w:r>
        <w:r>
          <w:rPr>
            <w:noProof/>
            <w:webHidden/>
          </w:rPr>
          <w:fldChar w:fldCharType="end"/>
        </w:r>
      </w:hyperlink>
    </w:p>
    <w:p w14:paraId="4651F1A0" w14:textId="3B8A951A"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1" w:history="1">
        <w:r w:rsidRPr="002A4FF7">
          <w:rPr>
            <w:rStyle w:val="Hyperlink"/>
            <w:rFonts w:ascii="Aptos" w:hAnsi="Aptos"/>
            <w:noProof/>
            <w:lang w:val="fr-FR"/>
          </w:rPr>
          <w:t>Note méthodologique – Base de calcul affichée en en-tête</w:t>
        </w:r>
        <w:r>
          <w:rPr>
            <w:noProof/>
            <w:webHidden/>
          </w:rPr>
          <w:tab/>
        </w:r>
        <w:r>
          <w:rPr>
            <w:noProof/>
            <w:webHidden/>
          </w:rPr>
          <w:fldChar w:fldCharType="begin"/>
        </w:r>
        <w:r>
          <w:rPr>
            <w:noProof/>
            <w:webHidden/>
          </w:rPr>
          <w:instrText xml:space="preserve"> PAGEREF _Toc236489331 \h </w:instrText>
        </w:r>
        <w:r>
          <w:rPr>
            <w:noProof/>
            <w:webHidden/>
          </w:rPr>
        </w:r>
        <w:r>
          <w:rPr>
            <w:noProof/>
            <w:webHidden/>
          </w:rPr>
          <w:fldChar w:fldCharType="separate"/>
        </w:r>
        <w:r>
          <w:rPr>
            <w:noProof/>
            <w:webHidden/>
          </w:rPr>
          <w:t>14</w:t>
        </w:r>
        <w:r>
          <w:rPr>
            <w:noProof/>
            <w:webHidden/>
          </w:rPr>
          <w:fldChar w:fldCharType="end"/>
        </w:r>
      </w:hyperlink>
    </w:p>
    <w:p w14:paraId="50AF5281" w14:textId="24BF201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2" w:history="1">
        <w:r w:rsidRPr="002A4FF7">
          <w:rPr>
            <w:rStyle w:val="Hyperlink"/>
            <w:rFonts w:ascii="Aptos" w:hAnsi="Aptos"/>
            <w:noProof/>
            <w:lang w:val="fr-FR"/>
          </w:rPr>
          <w:t>1. Population de référence – Jakarta Agglomération</w:t>
        </w:r>
        <w:r>
          <w:rPr>
            <w:noProof/>
            <w:webHidden/>
          </w:rPr>
          <w:tab/>
        </w:r>
        <w:r>
          <w:rPr>
            <w:noProof/>
            <w:webHidden/>
          </w:rPr>
          <w:fldChar w:fldCharType="begin"/>
        </w:r>
        <w:r>
          <w:rPr>
            <w:noProof/>
            <w:webHidden/>
          </w:rPr>
          <w:instrText xml:space="preserve"> PAGEREF _Toc236489332 \h </w:instrText>
        </w:r>
        <w:r>
          <w:rPr>
            <w:noProof/>
            <w:webHidden/>
          </w:rPr>
        </w:r>
        <w:r>
          <w:rPr>
            <w:noProof/>
            <w:webHidden/>
          </w:rPr>
          <w:fldChar w:fldCharType="separate"/>
        </w:r>
        <w:r>
          <w:rPr>
            <w:noProof/>
            <w:webHidden/>
          </w:rPr>
          <w:t>14</w:t>
        </w:r>
        <w:r>
          <w:rPr>
            <w:noProof/>
            <w:webHidden/>
          </w:rPr>
          <w:fldChar w:fldCharType="end"/>
        </w:r>
      </w:hyperlink>
    </w:p>
    <w:p w14:paraId="70FCEE5C" w14:textId="0C57463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3" w:history="1">
        <w:r w:rsidRPr="002A4FF7">
          <w:rPr>
            <w:rStyle w:val="Hyperlink"/>
            <w:rFonts w:ascii="Aptos" w:hAnsi="Aptos"/>
            <w:noProof/>
            <w:lang w:val="fr-FR"/>
          </w:rPr>
          <w:t>2. Principe de base du modèle</w:t>
        </w:r>
        <w:r>
          <w:rPr>
            <w:noProof/>
            <w:webHidden/>
          </w:rPr>
          <w:tab/>
        </w:r>
        <w:r>
          <w:rPr>
            <w:noProof/>
            <w:webHidden/>
          </w:rPr>
          <w:fldChar w:fldCharType="begin"/>
        </w:r>
        <w:r>
          <w:rPr>
            <w:noProof/>
            <w:webHidden/>
          </w:rPr>
          <w:instrText xml:space="preserve"> PAGEREF _Toc236489333 \h </w:instrText>
        </w:r>
        <w:r>
          <w:rPr>
            <w:noProof/>
            <w:webHidden/>
          </w:rPr>
        </w:r>
        <w:r>
          <w:rPr>
            <w:noProof/>
            <w:webHidden/>
          </w:rPr>
          <w:fldChar w:fldCharType="separate"/>
        </w:r>
        <w:r>
          <w:rPr>
            <w:noProof/>
            <w:webHidden/>
          </w:rPr>
          <w:t>14</w:t>
        </w:r>
        <w:r>
          <w:rPr>
            <w:noProof/>
            <w:webHidden/>
          </w:rPr>
          <w:fldChar w:fldCharType="end"/>
        </w:r>
      </w:hyperlink>
    </w:p>
    <w:p w14:paraId="325134E9" w14:textId="4346D53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4" w:history="1">
        <w:r w:rsidRPr="002A4FF7">
          <w:rPr>
            <w:rStyle w:val="Hyperlink"/>
            <w:rFonts w:ascii="Aptos" w:hAnsi="Aptos"/>
            <w:noProof/>
            <w:lang w:val="fr-FR"/>
          </w:rPr>
          <w:t>3. Chapitre 1 – Le 1,00 € local (Impôts de DKI Jakarta)</w:t>
        </w:r>
        <w:r>
          <w:rPr>
            <w:noProof/>
            <w:webHidden/>
          </w:rPr>
          <w:tab/>
        </w:r>
        <w:r>
          <w:rPr>
            <w:noProof/>
            <w:webHidden/>
          </w:rPr>
          <w:fldChar w:fldCharType="begin"/>
        </w:r>
        <w:r>
          <w:rPr>
            <w:noProof/>
            <w:webHidden/>
          </w:rPr>
          <w:instrText xml:space="preserve"> PAGEREF _Toc236489334 \h </w:instrText>
        </w:r>
        <w:r>
          <w:rPr>
            <w:noProof/>
            <w:webHidden/>
          </w:rPr>
        </w:r>
        <w:r>
          <w:rPr>
            <w:noProof/>
            <w:webHidden/>
          </w:rPr>
          <w:fldChar w:fldCharType="separate"/>
        </w:r>
        <w:r>
          <w:rPr>
            <w:noProof/>
            <w:webHidden/>
          </w:rPr>
          <w:t>14</w:t>
        </w:r>
        <w:r>
          <w:rPr>
            <w:noProof/>
            <w:webHidden/>
          </w:rPr>
          <w:fldChar w:fldCharType="end"/>
        </w:r>
      </w:hyperlink>
    </w:p>
    <w:p w14:paraId="7067A14A" w14:textId="0492112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5" w:history="1">
        <w:r w:rsidRPr="002A4FF7">
          <w:rPr>
            <w:rStyle w:val="Hyperlink"/>
            <w:rFonts w:ascii="Aptos" w:hAnsi="Aptos"/>
            <w:noProof/>
            <w:lang w:val="fr-FR"/>
          </w:rPr>
          <w:t>4. Chapitre 2 – Part des budgets publics nationaux (échelle Agglomération ≈ 41,9 M)</w:t>
        </w:r>
        <w:r>
          <w:rPr>
            <w:noProof/>
            <w:webHidden/>
          </w:rPr>
          <w:tab/>
        </w:r>
        <w:r>
          <w:rPr>
            <w:noProof/>
            <w:webHidden/>
          </w:rPr>
          <w:fldChar w:fldCharType="begin"/>
        </w:r>
        <w:r>
          <w:rPr>
            <w:noProof/>
            <w:webHidden/>
          </w:rPr>
          <w:instrText xml:space="preserve"> PAGEREF _Toc236489335 \h </w:instrText>
        </w:r>
        <w:r>
          <w:rPr>
            <w:noProof/>
            <w:webHidden/>
          </w:rPr>
        </w:r>
        <w:r>
          <w:rPr>
            <w:noProof/>
            <w:webHidden/>
          </w:rPr>
          <w:fldChar w:fldCharType="separate"/>
        </w:r>
        <w:r>
          <w:rPr>
            <w:noProof/>
            <w:webHidden/>
          </w:rPr>
          <w:t>15</w:t>
        </w:r>
        <w:r>
          <w:rPr>
            <w:noProof/>
            <w:webHidden/>
          </w:rPr>
          <w:fldChar w:fldCharType="end"/>
        </w:r>
      </w:hyperlink>
    </w:p>
    <w:p w14:paraId="52A37B22" w14:textId="5AB2AE80"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6" w:history="1">
        <w:r w:rsidRPr="002A4FF7">
          <w:rPr>
            <w:rStyle w:val="Hyperlink"/>
            <w:rFonts w:ascii="Aptos" w:hAnsi="Aptos"/>
            <w:noProof/>
            <w:lang w:val="fr-FR"/>
          </w:rPr>
          <w:t>5. Chapitre 3 – Dépenses privées des ménages (échelle Agglomération)</w:t>
        </w:r>
        <w:r>
          <w:rPr>
            <w:noProof/>
            <w:webHidden/>
          </w:rPr>
          <w:tab/>
        </w:r>
        <w:r>
          <w:rPr>
            <w:noProof/>
            <w:webHidden/>
          </w:rPr>
          <w:fldChar w:fldCharType="begin"/>
        </w:r>
        <w:r>
          <w:rPr>
            <w:noProof/>
            <w:webHidden/>
          </w:rPr>
          <w:instrText xml:space="preserve"> PAGEREF _Toc236489336 \h </w:instrText>
        </w:r>
        <w:r>
          <w:rPr>
            <w:noProof/>
            <w:webHidden/>
          </w:rPr>
        </w:r>
        <w:r>
          <w:rPr>
            <w:noProof/>
            <w:webHidden/>
          </w:rPr>
          <w:fldChar w:fldCharType="separate"/>
        </w:r>
        <w:r>
          <w:rPr>
            <w:noProof/>
            <w:webHidden/>
          </w:rPr>
          <w:t>15</w:t>
        </w:r>
        <w:r>
          <w:rPr>
            <w:noProof/>
            <w:webHidden/>
          </w:rPr>
          <w:fldChar w:fldCharType="end"/>
        </w:r>
      </w:hyperlink>
    </w:p>
    <w:p w14:paraId="64B7ACBA" w14:textId="2A70D87C"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7" w:history="1">
        <w:r w:rsidRPr="002A4FF7">
          <w:rPr>
            <w:rStyle w:val="Hyperlink"/>
            <w:rFonts w:ascii="Aptos" w:hAnsi="Aptos"/>
            <w:noProof/>
            <w:lang w:val="fr-FR"/>
          </w:rPr>
          <w:t>6. Synthèse des trois composantes – Base Jakarta Agglomération (≈ 41,9 M)</w:t>
        </w:r>
        <w:r>
          <w:rPr>
            <w:noProof/>
            <w:webHidden/>
          </w:rPr>
          <w:tab/>
        </w:r>
        <w:r>
          <w:rPr>
            <w:noProof/>
            <w:webHidden/>
          </w:rPr>
          <w:fldChar w:fldCharType="begin"/>
        </w:r>
        <w:r>
          <w:rPr>
            <w:noProof/>
            <w:webHidden/>
          </w:rPr>
          <w:instrText xml:space="preserve"> PAGEREF _Toc236489337 \h </w:instrText>
        </w:r>
        <w:r>
          <w:rPr>
            <w:noProof/>
            <w:webHidden/>
          </w:rPr>
        </w:r>
        <w:r>
          <w:rPr>
            <w:noProof/>
            <w:webHidden/>
          </w:rPr>
          <w:fldChar w:fldCharType="separate"/>
        </w:r>
        <w:r>
          <w:rPr>
            <w:noProof/>
            <w:webHidden/>
          </w:rPr>
          <w:t>15</w:t>
        </w:r>
        <w:r>
          <w:rPr>
            <w:noProof/>
            <w:webHidden/>
          </w:rPr>
          <w:fldChar w:fldCharType="end"/>
        </w:r>
      </w:hyperlink>
    </w:p>
    <w:p w14:paraId="756A528E" w14:textId="682DB916"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8" w:history="1">
        <w:r w:rsidRPr="002A4FF7">
          <w:rPr>
            <w:rStyle w:val="Hyperlink"/>
            <w:rFonts w:ascii="Aptos" w:hAnsi="Aptos"/>
            <w:noProof/>
            <w:lang w:val="fr-FR"/>
          </w:rPr>
          <w:t>7. Lien avec l’énergie, le froid et les émissions</w:t>
        </w:r>
        <w:r>
          <w:rPr>
            <w:noProof/>
            <w:webHidden/>
          </w:rPr>
          <w:tab/>
        </w:r>
        <w:r>
          <w:rPr>
            <w:noProof/>
            <w:webHidden/>
          </w:rPr>
          <w:fldChar w:fldCharType="begin"/>
        </w:r>
        <w:r>
          <w:rPr>
            <w:noProof/>
            <w:webHidden/>
          </w:rPr>
          <w:instrText xml:space="preserve"> PAGEREF _Toc236489338 \h </w:instrText>
        </w:r>
        <w:r>
          <w:rPr>
            <w:noProof/>
            <w:webHidden/>
          </w:rPr>
        </w:r>
        <w:r>
          <w:rPr>
            <w:noProof/>
            <w:webHidden/>
          </w:rPr>
          <w:fldChar w:fldCharType="separate"/>
        </w:r>
        <w:r>
          <w:rPr>
            <w:noProof/>
            <w:webHidden/>
          </w:rPr>
          <w:t>15</w:t>
        </w:r>
        <w:r>
          <w:rPr>
            <w:noProof/>
            <w:webHidden/>
          </w:rPr>
          <w:fldChar w:fldCharType="end"/>
        </w:r>
      </w:hyperlink>
    </w:p>
    <w:p w14:paraId="0AEDFC83" w14:textId="6C42552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39" w:history="1">
        <w:r w:rsidRPr="002A4FF7">
          <w:rPr>
            <w:rStyle w:val="Hyperlink"/>
            <w:rFonts w:ascii="Aptos" w:hAnsi="Aptos"/>
            <w:noProof/>
            <w:lang w:val="fr-FR"/>
          </w:rPr>
          <w:t>8. Conclusion</w:t>
        </w:r>
        <w:r>
          <w:rPr>
            <w:noProof/>
            <w:webHidden/>
          </w:rPr>
          <w:tab/>
        </w:r>
        <w:r>
          <w:rPr>
            <w:noProof/>
            <w:webHidden/>
          </w:rPr>
          <w:fldChar w:fldCharType="begin"/>
        </w:r>
        <w:r>
          <w:rPr>
            <w:noProof/>
            <w:webHidden/>
          </w:rPr>
          <w:instrText xml:space="preserve"> PAGEREF _Toc236489339 \h </w:instrText>
        </w:r>
        <w:r>
          <w:rPr>
            <w:noProof/>
            <w:webHidden/>
          </w:rPr>
        </w:r>
        <w:r>
          <w:rPr>
            <w:noProof/>
            <w:webHidden/>
          </w:rPr>
          <w:fldChar w:fldCharType="separate"/>
        </w:r>
        <w:r>
          <w:rPr>
            <w:noProof/>
            <w:webHidden/>
          </w:rPr>
          <w:t>16</w:t>
        </w:r>
        <w:r>
          <w:rPr>
            <w:noProof/>
            <w:webHidden/>
          </w:rPr>
          <w:fldChar w:fldCharType="end"/>
        </w:r>
      </w:hyperlink>
    </w:p>
    <w:p w14:paraId="66FCE8DB" w14:textId="4BFD126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0" w:history="1">
        <w:r w:rsidRPr="002A4FF7">
          <w:rPr>
            <w:rStyle w:val="Hyperlink"/>
            <w:rFonts w:ascii="Aptos" w:hAnsi="Aptos"/>
            <w:noProof/>
            <w:lang w:val="fr-FR"/>
          </w:rPr>
          <w:t>ANNEXE A</w:t>
        </w:r>
        <w:r>
          <w:rPr>
            <w:noProof/>
            <w:webHidden/>
          </w:rPr>
          <w:tab/>
        </w:r>
        <w:r>
          <w:rPr>
            <w:noProof/>
            <w:webHidden/>
          </w:rPr>
          <w:fldChar w:fldCharType="begin"/>
        </w:r>
        <w:r>
          <w:rPr>
            <w:noProof/>
            <w:webHidden/>
          </w:rPr>
          <w:instrText xml:space="preserve"> PAGEREF _Toc236489340 \h </w:instrText>
        </w:r>
        <w:r>
          <w:rPr>
            <w:noProof/>
            <w:webHidden/>
          </w:rPr>
        </w:r>
        <w:r>
          <w:rPr>
            <w:noProof/>
            <w:webHidden/>
          </w:rPr>
          <w:fldChar w:fldCharType="separate"/>
        </w:r>
        <w:r>
          <w:rPr>
            <w:noProof/>
            <w:webHidden/>
          </w:rPr>
          <w:t>17</w:t>
        </w:r>
        <w:r>
          <w:rPr>
            <w:noProof/>
            <w:webHidden/>
          </w:rPr>
          <w:fldChar w:fldCharType="end"/>
        </w:r>
      </w:hyperlink>
    </w:p>
    <w:p w14:paraId="0F7E0D67" w14:textId="00CF276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1" w:history="1">
        <w:r w:rsidRPr="002A4FF7">
          <w:rPr>
            <w:rStyle w:val="Hyperlink"/>
            <w:rFonts w:ascii="Aptos" w:hAnsi="Aptos"/>
            <w:noProof/>
            <w:lang w:val="fr-FR"/>
          </w:rPr>
          <w:t>ANNEXE B</w:t>
        </w:r>
        <w:r>
          <w:rPr>
            <w:noProof/>
            <w:webHidden/>
          </w:rPr>
          <w:tab/>
        </w:r>
        <w:r>
          <w:rPr>
            <w:noProof/>
            <w:webHidden/>
          </w:rPr>
          <w:fldChar w:fldCharType="begin"/>
        </w:r>
        <w:r>
          <w:rPr>
            <w:noProof/>
            <w:webHidden/>
          </w:rPr>
          <w:instrText xml:space="preserve"> PAGEREF _Toc236489341 \h </w:instrText>
        </w:r>
        <w:r>
          <w:rPr>
            <w:noProof/>
            <w:webHidden/>
          </w:rPr>
        </w:r>
        <w:r>
          <w:rPr>
            <w:noProof/>
            <w:webHidden/>
          </w:rPr>
          <w:fldChar w:fldCharType="separate"/>
        </w:r>
        <w:r>
          <w:rPr>
            <w:noProof/>
            <w:webHidden/>
          </w:rPr>
          <w:t>20</w:t>
        </w:r>
        <w:r>
          <w:rPr>
            <w:noProof/>
            <w:webHidden/>
          </w:rPr>
          <w:fldChar w:fldCharType="end"/>
        </w:r>
      </w:hyperlink>
    </w:p>
    <w:p w14:paraId="71D4D4D9" w14:textId="2A294BD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2" w:history="1">
        <w:r w:rsidRPr="002A4FF7">
          <w:rPr>
            <w:rStyle w:val="Hyperlink"/>
            <w:rFonts w:ascii="Aptos" w:hAnsi="Aptos"/>
            <w:noProof/>
            <w:lang w:val="fr-FR"/>
          </w:rPr>
          <w:t>Index Jakarta agglomération</w:t>
        </w:r>
        <w:r>
          <w:rPr>
            <w:noProof/>
            <w:webHidden/>
          </w:rPr>
          <w:tab/>
        </w:r>
        <w:r>
          <w:rPr>
            <w:noProof/>
            <w:webHidden/>
          </w:rPr>
          <w:fldChar w:fldCharType="begin"/>
        </w:r>
        <w:r>
          <w:rPr>
            <w:noProof/>
            <w:webHidden/>
          </w:rPr>
          <w:instrText xml:space="preserve"> PAGEREF _Toc236489342 \h </w:instrText>
        </w:r>
        <w:r>
          <w:rPr>
            <w:noProof/>
            <w:webHidden/>
          </w:rPr>
        </w:r>
        <w:r>
          <w:rPr>
            <w:noProof/>
            <w:webHidden/>
          </w:rPr>
          <w:fldChar w:fldCharType="separate"/>
        </w:r>
        <w:r>
          <w:rPr>
            <w:noProof/>
            <w:webHidden/>
          </w:rPr>
          <w:t>23</w:t>
        </w:r>
        <w:r>
          <w:rPr>
            <w:noProof/>
            <w:webHidden/>
          </w:rPr>
          <w:fldChar w:fldCharType="end"/>
        </w:r>
      </w:hyperlink>
    </w:p>
    <w:p w14:paraId="0CF67E06" w14:textId="623FE210"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43" w:history="1">
        <w:r w:rsidRPr="002A4FF7">
          <w:rPr>
            <w:rStyle w:val="Hyperlink"/>
            <w:noProof/>
            <w:lang w:val="fr-FR"/>
          </w:rPr>
          <w:t>NUSANTARA (IKN) – AGGLOMÉRATION EN CONSTRUCTION</w:t>
        </w:r>
        <w:r>
          <w:rPr>
            <w:noProof/>
            <w:webHidden/>
          </w:rPr>
          <w:tab/>
        </w:r>
        <w:r>
          <w:rPr>
            <w:noProof/>
            <w:webHidden/>
          </w:rPr>
          <w:fldChar w:fldCharType="begin"/>
        </w:r>
        <w:r>
          <w:rPr>
            <w:noProof/>
            <w:webHidden/>
          </w:rPr>
          <w:instrText xml:space="preserve"> PAGEREF _Toc236489343 \h </w:instrText>
        </w:r>
        <w:r>
          <w:rPr>
            <w:noProof/>
            <w:webHidden/>
          </w:rPr>
        </w:r>
        <w:r>
          <w:rPr>
            <w:noProof/>
            <w:webHidden/>
          </w:rPr>
          <w:fldChar w:fldCharType="separate"/>
        </w:r>
        <w:r>
          <w:rPr>
            <w:noProof/>
            <w:webHidden/>
          </w:rPr>
          <w:t>25</w:t>
        </w:r>
        <w:r>
          <w:rPr>
            <w:noProof/>
            <w:webHidden/>
          </w:rPr>
          <w:fldChar w:fldCharType="end"/>
        </w:r>
      </w:hyperlink>
    </w:p>
    <w:p w14:paraId="674D62F3" w14:textId="2254F78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4" w:history="1">
        <w:r w:rsidRPr="002A4FF7">
          <w:rPr>
            <w:rStyle w:val="Hyperlink"/>
            <w:noProof/>
            <w:lang w:val="fr-FR"/>
          </w:rPr>
          <w:t>CHAPITRE 0 – INTRODUCTION ET AMPLEURS COMPARÉES</w:t>
        </w:r>
        <w:r>
          <w:rPr>
            <w:noProof/>
            <w:webHidden/>
          </w:rPr>
          <w:tab/>
        </w:r>
        <w:r>
          <w:rPr>
            <w:noProof/>
            <w:webHidden/>
          </w:rPr>
          <w:fldChar w:fldCharType="begin"/>
        </w:r>
        <w:r>
          <w:rPr>
            <w:noProof/>
            <w:webHidden/>
          </w:rPr>
          <w:instrText xml:space="preserve"> PAGEREF _Toc236489344 \h </w:instrText>
        </w:r>
        <w:r>
          <w:rPr>
            <w:noProof/>
            <w:webHidden/>
          </w:rPr>
        </w:r>
        <w:r>
          <w:rPr>
            <w:noProof/>
            <w:webHidden/>
          </w:rPr>
          <w:fldChar w:fldCharType="separate"/>
        </w:r>
        <w:r>
          <w:rPr>
            <w:noProof/>
            <w:webHidden/>
          </w:rPr>
          <w:t>25</w:t>
        </w:r>
        <w:r>
          <w:rPr>
            <w:noProof/>
            <w:webHidden/>
          </w:rPr>
          <w:fldChar w:fldCharType="end"/>
        </w:r>
      </w:hyperlink>
    </w:p>
    <w:p w14:paraId="1ED9FC04" w14:textId="77C34C1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5" w:history="1">
        <w:r w:rsidRPr="002A4FF7">
          <w:rPr>
            <w:rStyle w:val="Hyperlink"/>
            <w:noProof/>
            <w:lang w:val="fr-FR"/>
          </w:rPr>
          <w:t>1. Population de référence – Nusantara 2026</w:t>
        </w:r>
        <w:r>
          <w:rPr>
            <w:noProof/>
            <w:webHidden/>
          </w:rPr>
          <w:tab/>
        </w:r>
        <w:r>
          <w:rPr>
            <w:noProof/>
            <w:webHidden/>
          </w:rPr>
          <w:fldChar w:fldCharType="begin"/>
        </w:r>
        <w:r>
          <w:rPr>
            <w:noProof/>
            <w:webHidden/>
          </w:rPr>
          <w:instrText xml:space="preserve"> PAGEREF _Toc236489345 \h </w:instrText>
        </w:r>
        <w:r>
          <w:rPr>
            <w:noProof/>
            <w:webHidden/>
          </w:rPr>
        </w:r>
        <w:r>
          <w:rPr>
            <w:noProof/>
            <w:webHidden/>
          </w:rPr>
          <w:fldChar w:fldCharType="separate"/>
        </w:r>
        <w:r>
          <w:rPr>
            <w:noProof/>
            <w:webHidden/>
          </w:rPr>
          <w:t>26</w:t>
        </w:r>
        <w:r>
          <w:rPr>
            <w:noProof/>
            <w:webHidden/>
          </w:rPr>
          <w:fldChar w:fldCharType="end"/>
        </w:r>
      </w:hyperlink>
    </w:p>
    <w:p w14:paraId="2BA5E2F9" w14:textId="6DBF766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6" w:history="1">
        <w:r w:rsidRPr="002A4FF7">
          <w:rPr>
            <w:rStyle w:val="Hyperlink"/>
            <w:noProof/>
            <w:lang w:val="fr-FR"/>
          </w:rPr>
          <w:t>2. Principe de base du modèle financier</w:t>
        </w:r>
        <w:r>
          <w:rPr>
            <w:noProof/>
            <w:webHidden/>
          </w:rPr>
          <w:tab/>
        </w:r>
        <w:r>
          <w:rPr>
            <w:noProof/>
            <w:webHidden/>
          </w:rPr>
          <w:fldChar w:fldCharType="begin"/>
        </w:r>
        <w:r>
          <w:rPr>
            <w:noProof/>
            <w:webHidden/>
          </w:rPr>
          <w:instrText xml:space="preserve"> PAGEREF _Toc236489346 \h </w:instrText>
        </w:r>
        <w:r>
          <w:rPr>
            <w:noProof/>
            <w:webHidden/>
          </w:rPr>
        </w:r>
        <w:r>
          <w:rPr>
            <w:noProof/>
            <w:webHidden/>
          </w:rPr>
          <w:fldChar w:fldCharType="separate"/>
        </w:r>
        <w:r>
          <w:rPr>
            <w:noProof/>
            <w:webHidden/>
          </w:rPr>
          <w:t>26</w:t>
        </w:r>
        <w:r>
          <w:rPr>
            <w:noProof/>
            <w:webHidden/>
          </w:rPr>
          <w:fldChar w:fldCharType="end"/>
        </w:r>
      </w:hyperlink>
    </w:p>
    <w:p w14:paraId="160122CE" w14:textId="5D258530"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7" w:history="1">
        <w:r w:rsidRPr="002A4FF7">
          <w:rPr>
            <w:rStyle w:val="Hyperlink"/>
            <w:noProof/>
            <w:lang w:val="fr-FR"/>
          </w:rPr>
          <w:t>3. Chapitre 1 – Le 1,00 € local (situation réelle 2026)</w:t>
        </w:r>
        <w:r>
          <w:rPr>
            <w:noProof/>
            <w:webHidden/>
          </w:rPr>
          <w:tab/>
        </w:r>
        <w:r>
          <w:rPr>
            <w:noProof/>
            <w:webHidden/>
          </w:rPr>
          <w:fldChar w:fldCharType="begin"/>
        </w:r>
        <w:r>
          <w:rPr>
            <w:noProof/>
            <w:webHidden/>
          </w:rPr>
          <w:instrText xml:space="preserve"> PAGEREF _Toc236489347 \h </w:instrText>
        </w:r>
        <w:r>
          <w:rPr>
            <w:noProof/>
            <w:webHidden/>
          </w:rPr>
        </w:r>
        <w:r>
          <w:rPr>
            <w:noProof/>
            <w:webHidden/>
          </w:rPr>
          <w:fldChar w:fldCharType="separate"/>
        </w:r>
        <w:r>
          <w:rPr>
            <w:noProof/>
            <w:webHidden/>
          </w:rPr>
          <w:t>26</w:t>
        </w:r>
        <w:r>
          <w:rPr>
            <w:noProof/>
            <w:webHidden/>
          </w:rPr>
          <w:fldChar w:fldCharType="end"/>
        </w:r>
      </w:hyperlink>
    </w:p>
    <w:p w14:paraId="44A10317" w14:textId="7F53D72C"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8" w:history="1">
        <w:r w:rsidRPr="002A4FF7">
          <w:rPr>
            <w:rStyle w:val="Hyperlink"/>
            <w:noProof/>
            <w:lang w:val="fr-FR"/>
          </w:rPr>
          <w:t>4. Chapitre 2 – Investissements et dépenses de l’État central</w:t>
        </w:r>
        <w:r>
          <w:rPr>
            <w:noProof/>
            <w:webHidden/>
          </w:rPr>
          <w:tab/>
        </w:r>
        <w:r>
          <w:rPr>
            <w:noProof/>
            <w:webHidden/>
          </w:rPr>
          <w:fldChar w:fldCharType="begin"/>
        </w:r>
        <w:r>
          <w:rPr>
            <w:noProof/>
            <w:webHidden/>
          </w:rPr>
          <w:instrText xml:space="preserve"> PAGEREF _Toc236489348 \h </w:instrText>
        </w:r>
        <w:r>
          <w:rPr>
            <w:noProof/>
            <w:webHidden/>
          </w:rPr>
        </w:r>
        <w:r>
          <w:rPr>
            <w:noProof/>
            <w:webHidden/>
          </w:rPr>
          <w:fldChar w:fldCharType="separate"/>
        </w:r>
        <w:r>
          <w:rPr>
            <w:noProof/>
            <w:webHidden/>
          </w:rPr>
          <w:t>26</w:t>
        </w:r>
        <w:r>
          <w:rPr>
            <w:noProof/>
            <w:webHidden/>
          </w:rPr>
          <w:fldChar w:fldCharType="end"/>
        </w:r>
      </w:hyperlink>
    </w:p>
    <w:p w14:paraId="7000636B" w14:textId="2084F34B"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49" w:history="1">
        <w:r w:rsidRPr="002A4FF7">
          <w:rPr>
            <w:rStyle w:val="Hyperlink"/>
            <w:noProof/>
            <w:lang w:val="fr-FR"/>
          </w:rPr>
          <w:t>5. Chapitre 3 – Dépenses des habitants et activité privée</w:t>
        </w:r>
        <w:r>
          <w:rPr>
            <w:noProof/>
            <w:webHidden/>
          </w:rPr>
          <w:tab/>
        </w:r>
        <w:r>
          <w:rPr>
            <w:noProof/>
            <w:webHidden/>
          </w:rPr>
          <w:fldChar w:fldCharType="begin"/>
        </w:r>
        <w:r>
          <w:rPr>
            <w:noProof/>
            <w:webHidden/>
          </w:rPr>
          <w:instrText xml:space="preserve"> PAGEREF _Toc236489349 \h </w:instrText>
        </w:r>
        <w:r>
          <w:rPr>
            <w:noProof/>
            <w:webHidden/>
          </w:rPr>
        </w:r>
        <w:r>
          <w:rPr>
            <w:noProof/>
            <w:webHidden/>
          </w:rPr>
          <w:fldChar w:fldCharType="separate"/>
        </w:r>
        <w:r>
          <w:rPr>
            <w:noProof/>
            <w:webHidden/>
          </w:rPr>
          <w:t>27</w:t>
        </w:r>
        <w:r>
          <w:rPr>
            <w:noProof/>
            <w:webHidden/>
          </w:rPr>
          <w:fldChar w:fldCharType="end"/>
        </w:r>
      </w:hyperlink>
    </w:p>
    <w:p w14:paraId="59F2E672" w14:textId="00CDFD2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0" w:history="1">
        <w:r w:rsidRPr="002A4FF7">
          <w:rPr>
            <w:rStyle w:val="Hyperlink"/>
            <w:noProof/>
            <w:lang w:val="fr-FR"/>
          </w:rPr>
          <w:t>6. Synthèse financière 2026 – Nusantara</w:t>
        </w:r>
        <w:r>
          <w:rPr>
            <w:noProof/>
            <w:webHidden/>
          </w:rPr>
          <w:tab/>
        </w:r>
        <w:r>
          <w:rPr>
            <w:noProof/>
            <w:webHidden/>
          </w:rPr>
          <w:fldChar w:fldCharType="begin"/>
        </w:r>
        <w:r>
          <w:rPr>
            <w:noProof/>
            <w:webHidden/>
          </w:rPr>
          <w:instrText xml:space="preserve"> PAGEREF _Toc236489350 \h </w:instrText>
        </w:r>
        <w:r>
          <w:rPr>
            <w:noProof/>
            <w:webHidden/>
          </w:rPr>
        </w:r>
        <w:r>
          <w:rPr>
            <w:noProof/>
            <w:webHidden/>
          </w:rPr>
          <w:fldChar w:fldCharType="separate"/>
        </w:r>
        <w:r>
          <w:rPr>
            <w:noProof/>
            <w:webHidden/>
          </w:rPr>
          <w:t>27</w:t>
        </w:r>
        <w:r>
          <w:rPr>
            <w:noProof/>
            <w:webHidden/>
          </w:rPr>
          <w:fldChar w:fldCharType="end"/>
        </w:r>
      </w:hyperlink>
    </w:p>
    <w:p w14:paraId="567F96E1" w14:textId="1F668A1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1" w:history="1">
        <w:r w:rsidRPr="002A4FF7">
          <w:rPr>
            <w:rStyle w:val="Hyperlink"/>
            <w:noProof/>
            <w:lang w:val="fr-FR"/>
          </w:rPr>
          <w:t>Annexe A – Bilan carbone (Nusantara 2026)</w:t>
        </w:r>
        <w:r>
          <w:rPr>
            <w:noProof/>
            <w:webHidden/>
          </w:rPr>
          <w:tab/>
        </w:r>
        <w:r>
          <w:rPr>
            <w:noProof/>
            <w:webHidden/>
          </w:rPr>
          <w:fldChar w:fldCharType="begin"/>
        </w:r>
        <w:r>
          <w:rPr>
            <w:noProof/>
            <w:webHidden/>
          </w:rPr>
          <w:instrText xml:space="preserve"> PAGEREF _Toc236489351 \h </w:instrText>
        </w:r>
        <w:r>
          <w:rPr>
            <w:noProof/>
            <w:webHidden/>
          </w:rPr>
        </w:r>
        <w:r>
          <w:rPr>
            <w:noProof/>
            <w:webHidden/>
          </w:rPr>
          <w:fldChar w:fldCharType="separate"/>
        </w:r>
        <w:r>
          <w:rPr>
            <w:noProof/>
            <w:webHidden/>
          </w:rPr>
          <w:t>27</w:t>
        </w:r>
        <w:r>
          <w:rPr>
            <w:noProof/>
            <w:webHidden/>
          </w:rPr>
          <w:fldChar w:fldCharType="end"/>
        </w:r>
      </w:hyperlink>
    </w:p>
    <w:p w14:paraId="77CC0C0D" w14:textId="2703870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2" w:history="1">
        <w:r w:rsidRPr="002A4FF7">
          <w:rPr>
            <w:rStyle w:val="Hyperlink"/>
            <w:noProof/>
            <w:lang w:val="fr-FR"/>
          </w:rPr>
          <w:t>Annexe B – Fabrication de froid / Climatisation (Nusantara 2026)</w:t>
        </w:r>
        <w:r>
          <w:rPr>
            <w:noProof/>
            <w:webHidden/>
          </w:rPr>
          <w:tab/>
        </w:r>
        <w:r>
          <w:rPr>
            <w:noProof/>
            <w:webHidden/>
          </w:rPr>
          <w:fldChar w:fldCharType="begin"/>
        </w:r>
        <w:r>
          <w:rPr>
            <w:noProof/>
            <w:webHidden/>
          </w:rPr>
          <w:instrText xml:space="preserve"> PAGEREF _Toc236489352 \h </w:instrText>
        </w:r>
        <w:r>
          <w:rPr>
            <w:noProof/>
            <w:webHidden/>
          </w:rPr>
        </w:r>
        <w:r>
          <w:rPr>
            <w:noProof/>
            <w:webHidden/>
          </w:rPr>
          <w:fldChar w:fldCharType="separate"/>
        </w:r>
        <w:r>
          <w:rPr>
            <w:noProof/>
            <w:webHidden/>
          </w:rPr>
          <w:t>27</w:t>
        </w:r>
        <w:r>
          <w:rPr>
            <w:noProof/>
            <w:webHidden/>
          </w:rPr>
          <w:fldChar w:fldCharType="end"/>
        </w:r>
      </w:hyperlink>
    </w:p>
    <w:p w14:paraId="69F75883" w14:textId="643A8C61"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353" w:history="1">
        <w:r w:rsidRPr="002A4FF7">
          <w:rPr>
            <w:rStyle w:val="Hyperlink"/>
            <w:noProof/>
            <w:lang w:val="fr-FR"/>
          </w:rPr>
          <w:t>Index</w:t>
        </w:r>
        <w:r>
          <w:rPr>
            <w:noProof/>
            <w:webHidden/>
          </w:rPr>
          <w:tab/>
        </w:r>
        <w:r>
          <w:rPr>
            <w:noProof/>
            <w:webHidden/>
          </w:rPr>
          <w:fldChar w:fldCharType="begin"/>
        </w:r>
        <w:r>
          <w:rPr>
            <w:noProof/>
            <w:webHidden/>
          </w:rPr>
          <w:instrText xml:space="preserve"> PAGEREF _Toc236489353 \h </w:instrText>
        </w:r>
        <w:r>
          <w:rPr>
            <w:noProof/>
            <w:webHidden/>
          </w:rPr>
        </w:r>
        <w:r>
          <w:rPr>
            <w:noProof/>
            <w:webHidden/>
          </w:rPr>
          <w:fldChar w:fldCharType="separate"/>
        </w:r>
        <w:r>
          <w:rPr>
            <w:noProof/>
            <w:webHidden/>
          </w:rPr>
          <w:t>28</w:t>
        </w:r>
        <w:r>
          <w:rPr>
            <w:noProof/>
            <w:webHidden/>
          </w:rPr>
          <w:fldChar w:fldCharType="end"/>
        </w:r>
      </w:hyperlink>
    </w:p>
    <w:p w14:paraId="4B6AD9B9" w14:textId="510B9B4A" w:rsidR="007D7CC9" w:rsidRPr="009E5F8A" w:rsidRDefault="007D7CC9" w:rsidP="007D7CC9">
      <w:pPr>
        <w:rPr>
          <w:rFonts w:ascii="Aptos" w:hAnsi="Aptos"/>
          <w:lang w:val="fr-FR"/>
        </w:rPr>
      </w:pPr>
      <w:r w:rsidRPr="009E5F8A">
        <w:rPr>
          <w:rFonts w:ascii="Aptos" w:hAnsi="Aptos"/>
          <w:lang w:val="fr-FR"/>
        </w:rPr>
        <w:fldChar w:fldCharType="end"/>
      </w:r>
    </w:p>
    <w:p w14:paraId="5D2F6A4B" w14:textId="77777777" w:rsidR="007D7CC9" w:rsidRPr="009E5F8A" w:rsidRDefault="007D7CC9" w:rsidP="007D7CC9">
      <w:pPr>
        <w:jc w:val="center"/>
        <w:rPr>
          <w:rFonts w:ascii="Aptos" w:hAnsi="Aptos"/>
          <w:lang w:val="fr-FR"/>
        </w:rPr>
      </w:pPr>
      <w:r w:rsidRPr="009E5F8A">
        <w:rPr>
          <w:rFonts w:ascii="Aptos" w:hAnsi="Aptos"/>
          <w:i/>
          <w:sz w:val="18"/>
          <w:lang w:val="fr-FR"/>
        </w:rPr>
        <w:t>— Fin du document – Transparence économique de Jakarta Agglomération – Base 41,9 millions —</w:t>
      </w:r>
      <w:r w:rsidRPr="009E5F8A">
        <w:rPr>
          <w:rFonts w:ascii="Aptos" w:hAnsi="Aptos"/>
          <w:i/>
          <w:sz w:val="18"/>
          <w:lang w:val="fr-FR"/>
        </w:rPr>
        <w:br/>
        <w:t>Document sous direction exclusive de François Dorléans</w:t>
      </w:r>
    </w:p>
    <w:p w14:paraId="06FF8B43" w14:textId="77777777" w:rsidR="007D7CC9" w:rsidRPr="009E5F8A" w:rsidRDefault="007D7CC9" w:rsidP="007D7CC9">
      <w:pPr>
        <w:rPr>
          <w:lang w:val="fr-FR"/>
        </w:rPr>
      </w:pPr>
    </w:p>
    <w:p w14:paraId="2FA610C3" w14:textId="77777777" w:rsidR="007D7CC9" w:rsidRPr="009E5F8A" w:rsidRDefault="007D7CC9" w:rsidP="007D7CC9">
      <w:pPr>
        <w:rPr>
          <w:lang w:val="fr-FR"/>
        </w:rPr>
      </w:pPr>
    </w:p>
    <w:p w14:paraId="4C8F41C0" w14:textId="77777777" w:rsidR="007D7CC9" w:rsidRPr="009E5F8A" w:rsidRDefault="007D7CC9" w:rsidP="007D7CC9">
      <w:pPr>
        <w:rPr>
          <w:lang w:val="fr-FR"/>
        </w:rPr>
        <w:sectPr w:rsidR="007D7CC9" w:rsidRPr="009E5F8A" w:rsidSect="00CA106F">
          <w:headerReference w:type="default" r:id="rId23"/>
          <w:pgSz w:w="11906" w:h="16838"/>
          <w:pgMar w:top="1020" w:right="1134" w:bottom="1020" w:left="1134" w:header="720" w:footer="720" w:gutter="0"/>
          <w:cols w:space="720"/>
          <w:docGrid w:linePitch="360"/>
        </w:sectPr>
      </w:pPr>
    </w:p>
    <w:p w14:paraId="409DAC98" w14:textId="77777777" w:rsidR="009E5F8A" w:rsidRPr="009E5F8A" w:rsidRDefault="009E5F8A" w:rsidP="007D7CC9">
      <w:pPr>
        <w:rPr>
          <w:lang w:val="fr-FR"/>
        </w:rPr>
      </w:pPr>
    </w:p>
    <w:p w14:paraId="7412296C" w14:textId="77777777" w:rsidR="009E5F8A" w:rsidRPr="009E5F8A" w:rsidRDefault="009E5F8A" w:rsidP="009E5F8A">
      <w:pPr>
        <w:pStyle w:val="Heading2"/>
        <w:rPr>
          <w:lang w:val="fr-FR"/>
        </w:rPr>
      </w:pPr>
      <w:bookmarkStart w:id="136" w:name="_Toc236489343"/>
      <w:bookmarkStart w:id="137" w:name="_Toc236489422"/>
      <w:r w:rsidRPr="009E5F8A">
        <w:rPr>
          <w:color w:val="0A2540"/>
          <w:sz w:val="28"/>
          <w:lang w:val="fr-FR"/>
        </w:rPr>
        <w:t>NUSANTARA (IKN) – AGGLOMÉRATION EN CONSTRUCTION</w:t>
      </w:r>
      <w:bookmarkEnd w:id="136"/>
      <w:bookmarkEnd w:id="137"/>
    </w:p>
    <w:p w14:paraId="77CC006E" w14:textId="77777777" w:rsidR="009E5F8A" w:rsidRPr="009E5F8A" w:rsidRDefault="009E5F8A" w:rsidP="009E5F8A">
      <w:pPr>
        <w:jc w:val="center"/>
        <w:rPr>
          <w:lang w:val="fr-FR"/>
        </w:rPr>
      </w:pPr>
      <w:r w:rsidRPr="009E5F8A">
        <w:rPr>
          <w:b/>
          <w:color w:val="1B6B4A"/>
          <w:sz w:val="24"/>
          <w:lang w:val="fr-FR"/>
        </w:rPr>
        <w:t>TRANSPARENCE ÉCONOMIQUE FACTUELLE – ANNÉE 2026</w:t>
      </w:r>
    </w:p>
    <w:p w14:paraId="683960E3" w14:textId="77777777" w:rsidR="009E5F8A" w:rsidRPr="009E5F8A" w:rsidRDefault="009E5F8A" w:rsidP="009E5F8A">
      <w:pPr>
        <w:jc w:val="center"/>
        <w:rPr>
          <w:lang w:val="fr-FR"/>
        </w:rPr>
      </w:pPr>
      <w:r w:rsidRPr="009E5F8A">
        <w:rPr>
          <w:b/>
          <w:color w:val="B41E1E"/>
          <w:lang w:val="fr-FR"/>
        </w:rPr>
        <w:t>Base de calcul : Population du cœur ≈ 10 000 habitants | Zone élargie ≈ 150 000</w:t>
      </w:r>
      <w:r w:rsidRPr="009E5F8A">
        <w:rPr>
          <w:b/>
          <w:color w:val="B41E1E"/>
          <w:lang w:val="fr-FR"/>
        </w:rPr>
        <w:br/>
        <w:t>État de développement : très précoce</w:t>
      </w:r>
    </w:p>
    <w:p w14:paraId="7C46D813" w14:textId="77777777" w:rsidR="009E5F8A" w:rsidRPr="009E5F8A" w:rsidRDefault="009E5F8A" w:rsidP="009E5F8A">
      <w:pPr>
        <w:jc w:val="center"/>
        <w:rPr>
          <w:lang w:val="fr-FR"/>
        </w:rPr>
      </w:pPr>
      <w:r w:rsidRPr="009E5F8A">
        <w:rPr>
          <w:i/>
          <w:sz w:val="18"/>
          <w:lang w:val="fr-FR"/>
        </w:rPr>
        <w:t>Document factuel OSINT – Sous direction de François Dorléans</w:t>
      </w:r>
      <w:r w:rsidRPr="009E5F8A">
        <w:rPr>
          <w:i/>
          <w:sz w:val="18"/>
          <w:lang w:val="fr-FR"/>
        </w:rPr>
        <w:br/>
        <w:t>Première itération – Base de comparaison avec Jakarta Agglomération</w:t>
      </w:r>
    </w:p>
    <w:p w14:paraId="44DC5B85" w14:textId="77777777" w:rsidR="009E5F8A" w:rsidRPr="009E5F8A" w:rsidRDefault="009E5F8A" w:rsidP="009E5F8A">
      <w:pPr>
        <w:spacing w:before="240" w:after="100"/>
        <w:rPr>
          <w:lang w:val="fr-FR"/>
        </w:rPr>
      </w:pPr>
      <w:r w:rsidRPr="009E5F8A">
        <w:rPr>
          <w:b/>
          <w:color w:val="0A2540"/>
          <w:sz w:val="26"/>
          <w:lang w:val="fr-FR"/>
        </w:rPr>
        <w:t>Note méthodologique importante</w:t>
      </w:r>
    </w:p>
    <w:p w14:paraId="54AFD881" w14:textId="77777777" w:rsidR="009E5F8A" w:rsidRPr="009E5F8A" w:rsidRDefault="009E5F8A" w:rsidP="009E5F8A">
      <w:pPr>
        <w:spacing w:after="80"/>
        <w:jc w:val="both"/>
        <w:rPr>
          <w:lang w:val="fr-FR"/>
        </w:rPr>
      </w:pPr>
      <w:r w:rsidRPr="009E5F8A">
        <w:rPr>
          <w:sz w:val="19"/>
          <w:lang w:val="fr-FR"/>
        </w:rPr>
        <w:t>Contrairement à Jakarta Agglomération (41,9 millions d’habitants, économie mature), Nusantara en 2026 est encore en phase de construction très précoce. Les données factuelles montrent :</w:t>
      </w:r>
    </w:p>
    <w:p w14:paraId="7911A8DF"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Population du cœur gouvernemental : environ 10 000 habitants (dont ≈ 1 000 fonctionnaires).</w:t>
      </w:r>
    </w:p>
    <w:p w14:paraId="35887550"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Zone élargie (villages existants + travailleurs) : environ 150 000 personnes.</w:t>
      </w:r>
    </w:p>
    <w:p w14:paraId="4F09531B"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Base fiscale locale (Pajak Daerah / PAD) : encore quasi inexistante ou négligeable.</w:t>
      </w:r>
    </w:p>
    <w:p w14:paraId="33C612DE" w14:textId="77777777" w:rsidR="009E5F8A" w:rsidRPr="009E5F8A" w:rsidRDefault="009E5F8A" w:rsidP="009E5F8A">
      <w:pPr>
        <w:pStyle w:val="ListBullet"/>
        <w:tabs>
          <w:tab w:val="num" w:pos="360"/>
        </w:tabs>
        <w:ind w:left="360" w:hanging="360"/>
        <w:rPr>
          <w:rFonts w:asciiTheme="minorHAnsi" w:hAnsiTheme="minorHAnsi"/>
          <w:sz w:val="22"/>
          <w:lang w:val="fr-FR"/>
        </w:rPr>
      </w:pPr>
      <w:r w:rsidRPr="009E5F8A">
        <w:rPr>
          <w:rFonts w:eastAsia="Arial"/>
          <w:sz w:val="19"/>
          <w:lang w:val="fr-FR"/>
        </w:rPr>
        <w:t>Financement dominant : budget de l’État central (APBN), en forte diminution par rapport aux années précédentes.</w:t>
      </w:r>
    </w:p>
    <w:p w14:paraId="50CEA33E" w14:textId="77777777" w:rsidR="009E5F8A" w:rsidRPr="009E5F8A" w:rsidRDefault="009E5F8A" w:rsidP="009E5F8A">
      <w:pPr>
        <w:pStyle w:val="ListBullet"/>
        <w:numPr>
          <w:ilvl w:val="0"/>
          <w:numId w:val="0"/>
        </w:numPr>
        <w:ind w:left="360" w:hanging="360"/>
        <w:rPr>
          <w:rFonts w:eastAsia="Arial"/>
          <w:sz w:val="19"/>
          <w:lang w:val="fr-FR"/>
        </w:rPr>
      </w:pPr>
    </w:p>
    <w:p w14:paraId="22595E23" w14:textId="77777777" w:rsidR="009E5F8A" w:rsidRPr="009E5F8A" w:rsidRDefault="009E5F8A" w:rsidP="009E5F8A">
      <w:pPr>
        <w:pStyle w:val="Heading3"/>
        <w:rPr>
          <w:lang w:val="fr-FR"/>
        </w:rPr>
      </w:pPr>
      <w:bookmarkStart w:id="138" w:name="_Toc236489344"/>
      <w:bookmarkStart w:id="139" w:name="_Toc236489423"/>
      <w:r w:rsidRPr="009E5F8A">
        <w:rPr>
          <w:sz w:val="26"/>
          <w:lang w:val="fr-FR"/>
        </w:rPr>
        <w:t>CHAPITRE 0 – INTRODUCTION ET AMPLEURS COMPARÉES</w:t>
      </w:r>
      <w:bookmarkEnd w:id="138"/>
      <w:bookmarkEnd w:id="139"/>
    </w:p>
    <w:p w14:paraId="597D2BAC" w14:textId="77777777" w:rsidR="009E5F8A" w:rsidRPr="009E5F8A" w:rsidRDefault="009E5F8A" w:rsidP="009E5F8A">
      <w:pPr>
        <w:jc w:val="center"/>
        <w:rPr>
          <w:lang w:val="fr-FR"/>
        </w:rPr>
      </w:pPr>
      <w:r w:rsidRPr="009E5F8A">
        <w:rPr>
          <w:i/>
          <w:sz w:val="19"/>
          <w:lang w:val="fr-FR"/>
        </w:rPr>
        <w:t>Nusantara 2026 face à Jakarta Agglomération et à Balikpapan</w:t>
      </w:r>
      <w:r w:rsidRPr="009E5F8A">
        <w:rPr>
          <w:i/>
          <w:sz w:val="19"/>
          <w:lang w:val="fr-FR"/>
        </w:rPr>
        <w:br/>
        <w:t>Chiffres réels – Document sous direction de François Dorléans</w:t>
      </w:r>
    </w:p>
    <w:p w14:paraId="32013FD9" w14:textId="77777777" w:rsidR="009E5F8A" w:rsidRPr="009E5F8A" w:rsidRDefault="009E5F8A" w:rsidP="009E5F8A">
      <w:pPr>
        <w:pStyle w:val="Heading4"/>
        <w:rPr>
          <w:lang w:val="fr-FR"/>
        </w:rPr>
      </w:pPr>
      <w:r w:rsidRPr="009E5F8A">
        <w:rPr>
          <w:b/>
          <w:i w:val="0"/>
          <w:color w:val="0A2540"/>
          <w:sz w:val="26"/>
          <w:lang w:val="fr-FR"/>
        </w:rPr>
        <w:t>Pourquoi Nusantara ?</w:t>
      </w:r>
    </w:p>
    <w:p w14:paraId="74FB43EA" w14:textId="77777777" w:rsidR="009E5F8A" w:rsidRPr="009E5F8A" w:rsidRDefault="009E5F8A" w:rsidP="009E5F8A">
      <w:pPr>
        <w:spacing w:after="80"/>
        <w:jc w:val="both"/>
        <w:rPr>
          <w:lang w:val="fr-FR"/>
        </w:rPr>
      </w:pPr>
      <w:r w:rsidRPr="009E5F8A">
        <w:rPr>
          <w:sz w:val="19"/>
          <w:lang w:val="fr-FR"/>
        </w:rPr>
        <w:t>Nusantara (IKN) a été lancée pour répondre aux limites structurelles de Jakarta : affaissement des sols, inondations récurrentes, congestion, pollution, îlot de chaleur urbain et forte dépendance énergétique. L’objectif officiel est de créer une nouvelle capitale administrative sur Bornéo (Kalimantan Est), plus résiliente et capable de rééquilibrer le développement national hors de Java. En 2026, le projet est encore en phase de construction très précoce.</w:t>
      </w:r>
    </w:p>
    <w:p w14:paraId="66697146" w14:textId="77777777" w:rsidR="009E5F8A" w:rsidRPr="009E5F8A" w:rsidRDefault="009E5F8A" w:rsidP="009E5F8A">
      <w:pPr>
        <w:pStyle w:val="Heading4"/>
        <w:rPr>
          <w:lang w:val="fr-FR"/>
        </w:rPr>
      </w:pPr>
      <w:r w:rsidRPr="009E5F8A">
        <w:rPr>
          <w:b/>
          <w:i w:val="0"/>
          <w:color w:val="0A2540"/>
          <w:sz w:val="26"/>
          <w:lang w:val="fr-FR"/>
        </w:rPr>
        <w:t>Ampleurs comparées – Chiffres réels 2025/2026</w:t>
      </w:r>
    </w:p>
    <w:tbl>
      <w:tblPr>
        <w:tblStyle w:val="TableGrid"/>
        <w:tblW w:w="0" w:type="auto"/>
        <w:jc w:val="center"/>
        <w:tblLook w:val="04A0" w:firstRow="1" w:lastRow="0" w:firstColumn="1" w:lastColumn="0" w:noHBand="0" w:noVBand="1"/>
      </w:tblPr>
      <w:tblGrid>
        <w:gridCol w:w="2407"/>
        <w:gridCol w:w="2407"/>
        <w:gridCol w:w="2407"/>
        <w:gridCol w:w="2407"/>
      </w:tblGrid>
      <w:tr w:rsidR="009E5F8A" w:rsidRPr="009E5F8A" w14:paraId="5885968C" w14:textId="77777777" w:rsidTr="00902867">
        <w:trPr>
          <w:jc w:val="center"/>
        </w:trPr>
        <w:tc>
          <w:tcPr>
            <w:tcW w:w="2409" w:type="dxa"/>
          </w:tcPr>
          <w:p w14:paraId="762B81A3" w14:textId="77777777" w:rsidR="009E5F8A" w:rsidRPr="009E5F8A" w:rsidRDefault="009E5F8A" w:rsidP="00902867">
            <w:pPr>
              <w:rPr>
                <w:lang w:val="fr-FR"/>
              </w:rPr>
            </w:pPr>
            <w:r w:rsidRPr="009E5F8A">
              <w:rPr>
                <w:rFonts w:ascii="Arial" w:eastAsia="Arial" w:hAnsi="Arial"/>
                <w:b/>
                <w:sz w:val="16"/>
                <w:lang w:val="fr-FR"/>
              </w:rPr>
              <w:t>Indicateur</w:t>
            </w:r>
          </w:p>
        </w:tc>
        <w:tc>
          <w:tcPr>
            <w:tcW w:w="2409" w:type="dxa"/>
          </w:tcPr>
          <w:p w14:paraId="7E194A0A" w14:textId="77777777" w:rsidR="009E5F8A" w:rsidRPr="009E5F8A" w:rsidRDefault="009E5F8A" w:rsidP="00902867">
            <w:pPr>
              <w:rPr>
                <w:lang w:val="fr-FR"/>
              </w:rPr>
            </w:pPr>
            <w:r w:rsidRPr="009E5F8A">
              <w:rPr>
                <w:rFonts w:ascii="Arial" w:eastAsia="Arial" w:hAnsi="Arial"/>
                <w:b/>
                <w:sz w:val="16"/>
                <w:lang w:val="fr-FR"/>
              </w:rPr>
              <w:t>Jakarta Agglomération</w:t>
            </w:r>
          </w:p>
        </w:tc>
        <w:tc>
          <w:tcPr>
            <w:tcW w:w="2409" w:type="dxa"/>
          </w:tcPr>
          <w:p w14:paraId="2B3A5D31" w14:textId="77777777" w:rsidR="009E5F8A" w:rsidRPr="009E5F8A" w:rsidRDefault="009E5F8A" w:rsidP="00902867">
            <w:pPr>
              <w:rPr>
                <w:lang w:val="fr-FR"/>
              </w:rPr>
            </w:pPr>
            <w:r w:rsidRPr="009E5F8A">
              <w:rPr>
                <w:rFonts w:ascii="Arial" w:eastAsia="Arial" w:hAnsi="Arial"/>
                <w:b/>
                <w:sz w:val="16"/>
                <w:lang w:val="fr-FR"/>
              </w:rPr>
              <w:t>Nusantara (IKN) 2026</w:t>
            </w:r>
          </w:p>
        </w:tc>
        <w:tc>
          <w:tcPr>
            <w:tcW w:w="2409" w:type="dxa"/>
          </w:tcPr>
          <w:p w14:paraId="7915E881" w14:textId="77777777" w:rsidR="009E5F8A" w:rsidRPr="009E5F8A" w:rsidRDefault="009E5F8A" w:rsidP="00902867">
            <w:pPr>
              <w:rPr>
                <w:lang w:val="fr-FR"/>
              </w:rPr>
            </w:pPr>
            <w:r w:rsidRPr="009E5F8A">
              <w:rPr>
                <w:rFonts w:ascii="Arial" w:eastAsia="Arial" w:hAnsi="Arial"/>
                <w:b/>
                <w:sz w:val="16"/>
                <w:lang w:val="fr-FR"/>
              </w:rPr>
              <w:t>Balikpapan 2026</w:t>
            </w:r>
          </w:p>
        </w:tc>
      </w:tr>
      <w:tr w:rsidR="009E5F8A" w:rsidRPr="009E5F8A" w14:paraId="68341CE1" w14:textId="77777777" w:rsidTr="00902867">
        <w:trPr>
          <w:jc w:val="center"/>
        </w:trPr>
        <w:tc>
          <w:tcPr>
            <w:tcW w:w="2409" w:type="dxa"/>
          </w:tcPr>
          <w:p w14:paraId="17ED521A" w14:textId="77777777" w:rsidR="009E5F8A" w:rsidRPr="009E5F8A" w:rsidRDefault="009E5F8A" w:rsidP="00902867">
            <w:pPr>
              <w:rPr>
                <w:lang w:val="fr-FR"/>
              </w:rPr>
            </w:pPr>
            <w:r w:rsidRPr="009E5F8A">
              <w:rPr>
                <w:rFonts w:ascii="Arial" w:eastAsia="Arial" w:hAnsi="Arial"/>
                <w:sz w:val="16"/>
                <w:lang w:val="fr-FR"/>
              </w:rPr>
              <w:t>Population</w:t>
            </w:r>
          </w:p>
        </w:tc>
        <w:tc>
          <w:tcPr>
            <w:tcW w:w="2409" w:type="dxa"/>
          </w:tcPr>
          <w:p w14:paraId="06736FBD" w14:textId="77777777" w:rsidR="009E5F8A" w:rsidRPr="009E5F8A" w:rsidRDefault="009E5F8A" w:rsidP="00902867">
            <w:pPr>
              <w:rPr>
                <w:lang w:val="fr-FR"/>
              </w:rPr>
            </w:pPr>
            <w:r w:rsidRPr="009E5F8A">
              <w:rPr>
                <w:rFonts w:ascii="Arial" w:eastAsia="Arial" w:hAnsi="Arial"/>
                <w:sz w:val="16"/>
                <w:lang w:val="fr-FR"/>
              </w:rPr>
              <w:t>≈ 41,9 millions (Greater Jakarta)</w:t>
            </w:r>
          </w:p>
        </w:tc>
        <w:tc>
          <w:tcPr>
            <w:tcW w:w="2409" w:type="dxa"/>
          </w:tcPr>
          <w:p w14:paraId="1592534B" w14:textId="77777777" w:rsidR="009E5F8A" w:rsidRPr="009E5F8A" w:rsidRDefault="009E5F8A" w:rsidP="00902867">
            <w:pPr>
              <w:rPr>
                <w:lang w:val="fr-FR"/>
              </w:rPr>
            </w:pPr>
            <w:r w:rsidRPr="009E5F8A">
              <w:rPr>
                <w:rFonts w:ascii="Arial" w:eastAsia="Arial" w:hAnsi="Arial"/>
                <w:sz w:val="16"/>
                <w:lang w:val="fr-FR"/>
              </w:rPr>
              <w:t>Cœur ≈ 10 000</w:t>
            </w:r>
            <w:r w:rsidRPr="009E5F8A">
              <w:rPr>
                <w:rFonts w:ascii="Arial" w:eastAsia="Arial" w:hAnsi="Arial"/>
                <w:sz w:val="16"/>
                <w:lang w:val="fr-FR"/>
              </w:rPr>
              <w:br/>
              <w:t>Zone élargie ≈ 150 000</w:t>
            </w:r>
          </w:p>
        </w:tc>
        <w:tc>
          <w:tcPr>
            <w:tcW w:w="2409" w:type="dxa"/>
          </w:tcPr>
          <w:p w14:paraId="29922F7A" w14:textId="77777777" w:rsidR="009E5F8A" w:rsidRPr="009E5F8A" w:rsidRDefault="009E5F8A" w:rsidP="00902867">
            <w:pPr>
              <w:rPr>
                <w:lang w:val="fr-FR"/>
              </w:rPr>
            </w:pPr>
            <w:r w:rsidRPr="009E5F8A">
              <w:rPr>
                <w:rFonts w:ascii="Arial" w:eastAsia="Arial" w:hAnsi="Arial"/>
                <w:sz w:val="16"/>
                <w:lang w:val="fr-FR"/>
              </w:rPr>
              <w:t>Administrative : 766 502</w:t>
            </w:r>
            <w:r w:rsidRPr="009E5F8A">
              <w:rPr>
                <w:rFonts w:ascii="Arial" w:eastAsia="Arial" w:hAnsi="Arial"/>
                <w:sz w:val="16"/>
                <w:lang w:val="fr-FR"/>
              </w:rPr>
              <w:br/>
              <w:t>Estimation métro ≈ 931 000</w:t>
            </w:r>
          </w:p>
        </w:tc>
      </w:tr>
      <w:tr w:rsidR="009E5F8A" w:rsidRPr="009E5F8A" w14:paraId="162C9A47" w14:textId="77777777" w:rsidTr="00902867">
        <w:trPr>
          <w:jc w:val="center"/>
        </w:trPr>
        <w:tc>
          <w:tcPr>
            <w:tcW w:w="2409" w:type="dxa"/>
          </w:tcPr>
          <w:p w14:paraId="3244E178" w14:textId="77777777" w:rsidR="009E5F8A" w:rsidRPr="009E5F8A" w:rsidRDefault="009E5F8A" w:rsidP="00902867">
            <w:pPr>
              <w:rPr>
                <w:lang w:val="fr-FR"/>
              </w:rPr>
            </w:pPr>
            <w:r w:rsidRPr="009E5F8A">
              <w:rPr>
                <w:rFonts w:ascii="Arial" w:eastAsia="Arial" w:hAnsi="Arial"/>
                <w:sz w:val="16"/>
                <w:lang w:val="fr-FR"/>
              </w:rPr>
              <w:t>Impôts locaux (Pajak Daerah / PAD)</w:t>
            </w:r>
          </w:p>
        </w:tc>
        <w:tc>
          <w:tcPr>
            <w:tcW w:w="2409" w:type="dxa"/>
          </w:tcPr>
          <w:p w14:paraId="178A8A7E" w14:textId="77777777" w:rsidR="009E5F8A" w:rsidRPr="009E5F8A" w:rsidRDefault="009E5F8A" w:rsidP="00902867">
            <w:pPr>
              <w:rPr>
                <w:lang w:val="fr-FR"/>
              </w:rPr>
            </w:pPr>
            <w:r w:rsidRPr="009E5F8A">
              <w:rPr>
                <w:rFonts w:ascii="Arial" w:eastAsia="Arial" w:hAnsi="Arial"/>
                <w:sz w:val="16"/>
                <w:lang w:val="fr-FR"/>
              </w:rPr>
              <w:t>DKI ≈ Rp 49,9 billions (2026)</w:t>
            </w:r>
          </w:p>
        </w:tc>
        <w:tc>
          <w:tcPr>
            <w:tcW w:w="2409" w:type="dxa"/>
          </w:tcPr>
          <w:p w14:paraId="38EFCBB5" w14:textId="77777777" w:rsidR="009E5F8A" w:rsidRPr="009E5F8A" w:rsidRDefault="009E5F8A" w:rsidP="00902867">
            <w:pPr>
              <w:rPr>
                <w:lang w:val="fr-FR"/>
              </w:rPr>
            </w:pPr>
            <w:r w:rsidRPr="009E5F8A">
              <w:rPr>
                <w:rFonts w:ascii="Arial" w:eastAsia="Arial" w:hAnsi="Arial"/>
                <w:sz w:val="16"/>
                <w:lang w:val="fr-FR"/>
              </w:rPr>
              <w:t>Quasi nuls / MI</w:t>
            </w:r>
            <w:r w:rsidRPr="009E5F8A">
              <w:rPr>
                <w:rFonts w:ascii="Arial" w:eastAsia="Arial" w:hAnsi="Arial"/>
                <w:sz w:val="16"/>
                <w:lang w:val="fr-FR"/>
              </w:rPr>
              <w:br/>
              <w:t>(base fiscale encore inexistante)</w:t>
            </w:r>
          </w:p>
        </w:tc>
        <w:tc>
          <w:tcPr>
            <w:tcW w:w="2409" w:type="dxa"/>
          </w:tcPr>
          <w:p w14:paraId="6266A09D" w14:textId="77777777" w:rsidR="009E5F8A" w:rsidRPr="009E5F8A" w:rsidRDefault="009E5F8A" w:rsidP="00902867">
            <w:pPr>
              <w:rPr>
                <w:lang w:val="fr-FR"/>
              </w:rPr>
            </w:pPr>
            <w:r w:rsidRPr="009E5F8A">
              <w:rPr>
                <w:rFonts w:ascii="Arial" w:eastAsia="Arial" w:hAnsi="Arial"/>
                <w:sz w:val="16"/>
                <w:lang w:val="fr-FR"/>
              </w:rPr>
              <w:t>Projet initial PAD ≈ Rp 1,58 billion</w:t>
            </w:r>
            <w:r w:rsidRPr="009E5F8A">
              <w:rPr>
                <w:rFonts w:ascii="Arial" w:eastAsia="Arial" w:hAnsi="Arial"/>
                <w:sz w:val="16"/>
                <w:lang w:val="fr-FR"/>
              </w:rPr>
              <w:br/>
              <w:t>(dont pajak daerah ≈ Rp 1,33 billion)</w:t>
            </w:r>
            <w:r w:rsidRPr="009E5F8A">
              <w:rPr>
                <w:rFonts w:ascii="Arial" w:eastAsia="Arial" w:hAnsi="Arial"/>
                <w:sz w:val="16"/>
                <w:lang w:val="fr-FR"/>
              </w:rPr>
              <w:br/>
              <w:t>Chiffre final post-révision : MI</w:t>
            </w:r>
          </w:p>
        </w:tc>
      </w:tr>
      <w:tr w:rsidR="009E5F8A" w:rsidRPr="009E5F8A" w14:paraId="6ADE5DA9" w14:textId="77777777" w:rsidTr="00902867">
        <w:trPr>
          <w:jc w:val="center"/>
        </w:trPr>
        <w:tc>
          <w:tcPr>
            <w:tcW w:w="2409" w:type="dxa"/>
          </w:tcPr>
          <w:p w14:paraId="48275735" w14:textId="77777777" w:rsidR="009E5F8A" w:rsidRPr="009E5F8A" w:rsidRDefault="009E5F8A" w:rsidP="00902867">
            <w:pPr>
              <w:rPr>
                <w:lang w:val="fr-FR"/>
              </w:rPr>
            </w:pPr>
            <w:r w:rsidRPr="009E5F8A">
              <w:rPr>
                <w:rFonts w:ascii="Arial" w:eastAsia="Arial" w:hAnsi="Arial"/>
                <w:sz w:val="16"/>
                <w:lang w:val="fr-FR"/>
              </w:rPr>
              <w:t>Budget local total (APBD)</w:t>
            </w:r>
          </w:p>
        </w:tc>
        <w:tc>
          <w:tcPr>
            <w:tcW w:w="2409" w:type="dxa"/>
          </w:tcPr>
          <w:p w14:paraId="284955AF" w14:textId="77777777" w:rsidR="009E5F8A" w:rsidRPr="009E5F8A" w:rsidRDefault="009E5F8A" w:rsidP="00902867">
            <w:pPr>
              <w:rPr>
                <w:lang w:val="fr-FR"/>
              </w:rPr>
            </w:pPr>
            <w:r w:rsidRPr="009E5F8A">
              <w:rPr>
                <w:rFonts w:ascii="Arial" w:eastAsia="Arial" w:hAnsi="Arial"/>
                <w:sz w:val="16"/>
                <w:lang w:val="fr-FR"/>
              </w:rPr>
              <w:t>DKI ≈ Rp 81 billions (2026)</w:t>
            </w:r>
          </w:p>
        </w:tc>
        <w:tc>
          <w:tcPr>
            <w:tcW w:w="2409" w:type="dxa"/>
          </w:tcPr>
          <w:p w14:paraId="2068F4B7" w14:textId="77777777" w:rsidR="009E5F8A" w:rsidRPr="009E5F8A" w:rsidRDefault="009E5F8A" w:rsidP="00902867">
            <w:pPr>
              <w:rPr>
                <w:lang w:val="fr-FR"/>
              </w:rPr>
            </w:pPr>
            <w:r w:rsidRPr="009E5F8A">
              <w:rPr>
                <w:rFonts w:ascii="Arial" w:eastAsia="Arial" w:hAnsi="Arial"/>
                <w:sz w:val="16"/>
                <w:lang w:val="fr-FR"/>
              </w:rPr>
              <w:t>MI</w:t>
            </w:r>
            <w:r w:rsidRPr="009E5F8A">
              <w:rPr>
                <w:rFonts w:ascii="Arial" w:eastAsia="Arial" w:hAnsi="Arial"/>
                <w:sz w:val="16"/>
                <w:lang w:val="fr-FR"/>
              </w:rPr>
              <w:br/>
              <w:t>(pas encore de budget local mature)</w:t>
            </w:r>
          </w:p>
        </w:tc>
        <w:tc>
          <w:tcPr>
            <w:tcW w:w="2409" w:type="dxa"/>
          </w:tcPr>
          <w:p w14:paraId="7580D7A9" w14:textId="77777777" w:rsidR="009E5F8A" w:rsidRPr="009E5F8A" w:rsidRDefault="009E5F8A" w:rsidP="00902867">
            <w:pPr>
              <w:rPr>
                <w:lang w:val="fr-FR"/>
              </w:rPr>
            </w:pPr>
            <w:r w:rsidRPr="009E5F8A">
              <w:rPr>
                <w:rFonts w:ascii="Arial" w:eastAsia="Arial" w:hAnsi="Arial"/>
                <w:sz w:val="16"/>
                <w:lang w:val="fr-FR"/>
              </w:rPr>
              <w:t>Recettes ≈ Rp 3,245 billions</w:t>
            </w:r>
            <w:r w:rsidRPr="009E5F8A">
              <w:rPr>
                <w:rFonts w:ascii="Arial" w:eastAsia="Arial" w:hAnsi="Arial"/>
                <w:sz w:val="16"/>
                <w:lang w:val="fr-FR"/>
              </w:rPr>
              <w:br/>
              <w:t>Dépenses ≈ Rp 3,517 billions</w:t>
            </w:r>
          </w:p>
        </w:tc>
      </w:tr>
      <w:tr w:rsidR="009E5F8A" w:rsidRPr="009E5F8A" w14:paraId="396B3542" w14:textId="77777777" w:rsidTr="00902867">
        <w:trPr>
          <w:jc w:val="center"/>
        </w:trPr>
        <w:tc>
          <w:tcPr>
            <w:tcW w:w="2409" w:type="dxa"/>
          </w:tcPr>
          <w:p w14:paraId="6FBC128E" w14:textId="77777777" w:rsidR="009E5F8A" w:rsidRPr="009E5F8A" w:rsidRDefault="009E5F8A" w:rsidP="00902867">
            <w:pPr>
              <w:rPr>
                <w:lang w:val="fr-FR"/>
              </w:rPr>
            </w:pPr>
            <w:r w:rsidRPr="009E5F8A">
              <w:rPr>
                <w:rFonts w:ascii="Arial" w:eastAsia="Arial" w:hAnsi="Arial"/>
                <w:sz w:val="16"/>
                <w:lang w:val="fr-FR"/>
              </w:rPr>
              <w:t>Transferts / contribution de l’État</w:t>
            </w:r>
          </w:p>
        </w:tc>
        <w:tc>
          <w:tcPr>
            <w:tcW w:w="2409" w:type="dxa"/>
          </w:tcPr>
          <w:p w14:paraId="1D20BCA9" w14:textId="77777777" w:rsidR="009E5F8A" w:rsidRPr="009E5F8A" w:rsidRDefault="009E5F8A" w:rsidP="00902867">
            <w:pPr>
              <w:rPr>
                <w:lang w:val="fr-FR"/>
              </w:rPr>
            </w:pPr>
            <w:r w:rsidRPr="009E5F8A">
              <w:rPr>
                <w:rFonts w:ascii="Arial" w:eastAsia="Arial" w:hAnsi="Arial"/>
                <w:sz w:val="16"/>
                <w:lang w:val="fr-FR"/>
              </w:rPr>
              <w:t>Très importants</w:t>
            </w:r>
            <w:r w:rsidRPr="009E5F8A">
              <w:rPr>
                <w:rFonts w:ascii="Arial" w:eastAsia="Arial" w:hAnsi="Arial"/>
                <w:sz w:val="16"/>
                <w:lang w:val="fr-FR"/>
              </w:rPr>
              <w:br/>
              <w:t>(part nationale significative)</w:t>
            </w:r>
          </w:p>
        </w:tc>
        <w:tc>
          <w:tcPr>
            <w:tcW w:w="2409" w:type="dxa"/>
          </w:tcPr>
          <w:p w14:paraId="0BF2689A" w14:textId="77777777" w:rsidR="009E5F8A" w:rsidRPr="009E5F8A" w:rsidRDefault="009E5F8A" w:rsidP="00902867">
            <w:pPr>
              <w:rPr>
                <w:lang w:val="fr-FR"/>
              </w:rPr>
            </w:pPr>
            <w:r w:rsidRPr="009E5F8A">
              <w:rPr>
                <w:rFonts w:ascii="Arial" w:eastAsia="Arial" w:hAnsi="Arial"/>
                <w:sz w:val="16"/>
                <w:lang w:val="fr-FR"/>
              </w:rPr>
              <w:t>Dominant</w:t>
            </w:r>
            <w:r w:rsidRPr="009E5F8A">
              <w:rPr>
                <w:rFonts w:ascii="Arial" w:eastAsia="Arial" w:hAnsi="Arial"/>
                <w:sz w:val="16"/>
                <w:lang w:val="fr-FR"/>
              </w:rPr>
              <w:br/>
              <w:t>Allocation IKN 2026 ≈ Rp 6,26 billions</w:t>
            </w:r>
          </w:p>
        </w:tc>
        <w:tc>
          <w:tcPr>
            <w:tcW w:w="2409" w:type="dxa"/>
          </w:tcPr>
          <w:p w14:paraId="6DA3A12D" w14:textId="77777777" w:rsidR="009E5F8A" w:rsidRPr="009E5F8A" w:rsidRDefault="009E5F8A" w:rsidP="00902867">
            <w:pPr>
              <w:rPr>
                <w:lang w:val="fr-FR"/>
              </w:rPr>
            </w:pPr>
            <w:r w:rsidRPr="009E5F8A">
              <w:rPr>
                <w:rFonts w:ascii="Arial" w:eastAsia="Arial" w:hAnsi="Arial"/>
                <w:sz w:val="16"/>
                <w:lang w:val="fr-FR"/>
              </w:rPr>
              <w:t>Transferts dans APBD ≈ Rp 1,655 billion</w:t>
            </w:r>
          </w:p>
        </w:tc>
      </w:tr>
      <w:tr w:rsidR="009E5F8A" w:rsidRPr="009E5F8A" w14:paraId="514685C4" w14:textId="77777777" w:rsidTr="00902867">
        <w:trPr>
          <w:jc w:val="center"/>
        </w:trPr>
        <w:tc>
          <w:tcPr>
            <w:tcW w:w="2409" w:type="dxa"/>
          </w:tcPr>
          <w:p w14:paraId="60E6ECD5" w14:textId="77777777" w:rsidR="009E5F8A" w:rsidRPr="009E5F8A" w:rsidRDefault="009E5F8A" w:rsidP="00902867">
            <w:pPr>
              <w:rPr>
                <w:lang w:val="fr-FR"/>
              </w:rPr>
            </w:pPr>
            <w:r w:rsidRPr="009E5F8A">
              <w:rPr>
                <w:rFonts w:ascii="Arial" w:eastAsia="Arial" w:hAnsi="Arial"/>
                <w:sz w:val="16"/>
                <w:lang w:val="fr-FR"/>
              </w:rPr>
              <w:t>Investissement État – fonctionnement + développement</w:t>
            </w:r>
          </w:p>
        </w:tc>
        <w:tc>
          <w:tcPr>
            <w:tcW w:w="2409" w:type="dxa"/>
          </w:tcPr>
          <w:p w14:paraId="161888A4" w14:textId="77777777" w:rsidR="009E5F8A" w:rsidRPr="009E5F8A" w:rsidRDefault="009E5F8A" w:rsidP="00902867">
            <w:pPr>
              <w:rPr>
                <w:lang w:val="fr-FR"/>
              </w:rPr>
            </w:pPr>
            <w:r w:rsidRPr="009E5F8A">
              <w:rPr>
                <w:rFonts w:ascii="Arial" w:eastAsia="Arial" w:hAnsi="Arial"/>
                <w:sz w:val="16"/>
                <w:lang w:val="fr-FR"/>
              </w:rPr>
              <w:t>Élevé (agglomération mature)</w:t>
            </w:r>
          </w:p>
        </w:tc>
        <w:tc>
          <w:tcPr>
            <w:tcW w:w="2409" w:type="dxa"/>
          </w:tcPr>
          <w:p w14:paraId="463EA636" w14:textId="77777777" w:rsidR="009E5F8A" w:rsidRPr="009E5F8A" w:rsidRDefault="009E5F8A" w:rsidP="00902867">
            <w:pPr>
              <w:rPr>
                <w:lang w:val="fr-FR"/>
              </w:rPr>
            </w:pPr>
            <w:r w:rsidRPr="009E5F8A">
              <w:rPr>
                <w:rFonts w:ascii="Arial" w:eastAsia="Arial" w:hAnsi="Arial"/>
                <w:sz w:val="16"/>
                <w:lang w:val="fr-FR"/>
              </w:rPr>
              <w:t>Quasi exclusif</w:t>
            </w:r>
            <w:r w:rsidRPr="009E5F8A">
              <w:rPr>
                <w:rFonts w:ascii="Arial" w:eastAsia="Arial" w:hAnsi="Arial"/>
                <w:sz w:val="16"/>
                <w:lang w:val="fr-FR"/>
              </w:rPr>
              <w:br/>
              <w:t>(Rp 6,26 T en 2026 + engagements multi-annuels)</w:t>
            </w:r>
          </w:p>
        </w:tc>
        <w:tc>
          <w:tcPr>
            <w:tcW w:w="2409" w:type="dxa"/>
          </w:tcPr>
          <w:p w14:paraId="6C7B4D04" w14:textId="77777777" w:rsidR="009E5F8A" w:rsidRPr="009E5F8A" w:rsidRDefault="009E5F8A" w:rsidP="00902867">
            <w:pPr>
              <w:rPr>
                <w:lang w:val="fr-FR"/>
              </w:rPr>
            </w:pPr>
            <w:r w:rsidRPr="009E5F8A">
              <w:rPr>
                <w:rFonts w:ascii="Arial" w:eastAsia="Arial" w:hAnsi="Arial"/>
                <w:sz w:val="16"/>
                <w:lang w:val="fr-FR"/>
              </w:rPr>
              <w:t>Dépenses d’investissement APBD ≈ Rp 649,5 milliards</w:t>
            </w:r>
          </w:p>
        </w:tc>
      </w:tr>
      <w:tr w:rsidR="009E5F8A" w:rsidRPr="009E5F8A" w14:paraId="2780FE00" w14:textId="77777777" w:rsidTr="00902867">
        <w:trPr>
          <w:jc w:val="center"/>
        </w:trPr>
        <w:tc>
          <w:tcPr>
            <w:tcW w:w="2409" w:type="dxa"/>
          </w:tcPr>
          <w:p w14:paraId="19869F06" w14:textId="77777777" w:rsidR="009E5F8A" w:rsidRPr="009E5F8A" w:rsidRDefault="009E5F8A" w:rsidP="00902867">
            <w:pPr>
              <w:rPr>
                <w:lang w:val="fr-FR"/>
              </w:rPr>
            </w:pPr>
            <w:r w:rsidRPr="009E5F8A">
              <w:rPr>
                <w:rFonts w:ascii="Arial" w:eastAsia="Arial" w:hAnsi="Arial"/>
                <w:sz w:val="16"/>
                <w:lang w:val="fr-FR"/>
              </w:rPr>
              <w:t>Dépenses privées / activité économique</w:t>
            </w:r>
          </w:p>
        </w:tc>
        <w:tc>
          <w:tcPr>
            <w:tcW w:w="2409" w:type="dxa"/>
          </w:tcPr>
          <w:p w14:paraId="5C8F7575" w14:textId="77777777" w:rsidR="009E5F8A" w:rsidRPr="009E5F8A" w:rsidRDefault="009E5F8A" w:rsidP="00902867">
            <w:pPr>
              <w:rPr>
                <w:lang w:val="fr-FR"/>
              </w:rPr>
            </w:pPr>
            <w:r w:rsidRPr="009E5F8A">
              <w:rPr>
                <w:rFonts w:ascii="Arial" w:eastAsia="Arial" w:hAnsi="Arial"/>
                <w:sz w:val="16"/>
                <w:lang w:val="fr-FR"/>
              </w:rPr>
              <w:t>Massives</w:t>
            </w:r>
            <w:r w:rsidRPr="009E5F8A">
              <w:rPr>
                <w:rFonts w:ascii="Arial" w:eastAsia="Arial" w:hAnsi="Arial"/>
                <w:sz w:val="16"/>
                <w:lang w:val="fr-FR"/>
              </w:rPr>
              <w:br/>
              <w:t>(PDRB DKI très élevé)</w:t>
            </w:r>
          </w:p>
        </w:tc>
        <w:tc>
          <w:tcPr>
            <w:tcW w:w="2409" w:type="dxa"/>
          </w:tcPr>
          <w:p w14:paraId="0699DFE6" w14:textId="77777777" w:rsidR="009E5F8A" w:rsidRPr="009E5F8A" w:rsidRDefault="009E5F8A" w:rsidP="00902867">
            <w:pPr>
              <w:rPr>
                <w:lang w:val="fr-FR"/>
              </w:rPr>
            </w:pPr>
            <w:r w:rsidRPr="009E5F8A">
              <w:rPr>
                <w:rFonts w:ascii="Arial" w:eastAsia="Arial" w:hAnsi="Arial"/>
                <w:sz w:val="16"/>
                <w:lang w:val="fr-FR"/>
              </w:rPr>
              <w:t>Très limitées</w:t>
            </w:r>
            <w:r w:rsidRPr="009E5F8A">
              <w:rPr>
                <w:rFonts w:ascii="Arial" w:eastAsia="Arial" w:hAnsi="Arial"/>
                <w:sz w:val="16"/>
                <w:lang w:val="fr-FR"/>
              </w:rPr>
              <w:br/>
              <w:t>(population et activité encore faibles)</w:t>
            </w:r>
          </w:p>
        </w:tc>
        <w:tc>
          <w:tcPr>
            <w:tcW w:w="2409" w:type="dxa"/>
          </w:tcPr>
          <w:p w14:paraId="582F3E97" w14:textId="77777777" w:rsidR="009E5F8A" w:rsidRPr="009E5F8A" w:rsidRDefault="009E5F8A" w:rsidP="00902867">
            <w:pPr>
              <w:rPr>
                <w:lang w:val="fr-FR"/>
              </w:rPr>
            </w:pPr>
            <w:r w:rsidRPr="009E5F8A">
              <w:rPr>
                <w:rFonts w:ascii="Arial" w:eastAsia="Arial" w:hAnsi="Arial"/>
                <w:sz w:val="16"/>
                <w:lang w:val="fr-FR"/>
              </w:rPr>
              <w:t>PDRB 2024 ≈ Rp 153,57 billions</w:t>
            </w:r>
            <w:r w:rsidRPr="009E5F8A">
              <w:rPr>
                <w:rFonts w:ascii="Arial" w:eastAsia="Arial" w:hAnsi="Arial"/>
                <w:sz w:val="16"/>
                <w:lang w:val="fr-FR"/>
              </w:rPr>
              <w:br/>
              <w:t>(PDRB/hab. ≈ Rp 214 millions)</w:t>
            </w:r>
          </w:p>
        </w:tc>
      </w:tr>
      <w:tr w:rsidR="009E5F8A" w:rsidRPr="009E5F8A" w14:paraId="28E6E92A" w14:textId="77777777" w:rsidTr="00902867">
        <w:trPr>
          <w:jc w:val="center"/>
        </w:trPr>
        <w:tc>
          <w:tcPr>
            <w:tcW w:w="2409" w:type="dxa"/>
          </w:tcPr>
          <w:p w14:paraId="1A9D02FF" w14:textId="77777777" w:rsidR="009E5F8A" w:rsidRPr="009E5F8A" w:rsidRDefault="009E5F8A" w:rsidP="00902867">
            <w:pPr>
              <w:rPr>
                <w:lang w:val="fr-FR"/>
              </w:rPr>
            </w:pPr>
            <w:r w:rsidRPr="009E5F8A">
              <w:rPr>
                <w:rFonts w:ascii="Arial" w:eastAsia="Arial" w:hAnsi="Arial"/>
                <w:sz w:val="16"/>
                <w:lang w:val="fr-FR"/>
              </w:rPr>
              <w:t>Statut 2026</w:t>
            </w:r>
          </w:p>
        </w:tc>
        <w:tc>
          <w:tcPr>
            <w:tcW w:w="2409" w:type="dxa"/>
          </w:tcPr>
          <w:p w14:paraId="14889E92" w14:textId="77777777" w:rsidR="009E5F8A" w:rsidRPr="009E5F8A" w:rsidRDefault="009E5F8A" w:rsidP="00902867">
            <w:pPr>
              <w:rPr>
                <w:lang w:val="fr-FR"/>
              </w:rPr>
            </w:pPr>
            <w:r w:rsidRPr="009E5F8A">
              <w:rPr>
                <w:rFonts w:ascii="Arial" w:eastAsia="Arial" w:hAnsi="Arial"/>
                <w:sz w:val="16"/>
                <w:lang w:val="fr-FR"/>
              </w:rPr>
              <w:t>Giga-ville mature</w:t>
            </w:r>
          </w:p>
        </w:tc>
        <w:tc>
          <w:tcPr>
            <w:tcW w:w="2409" w:type="dxa"/>
          </w:tcPr>
          <w:p w14:paraId="583807C7" w14:textId="77777777" w:rsidR="009E5F8A" w:rsidRPr="009E5F8A" w:rsidRDefault="009E5F8A" w:rsidP="00902867">
            <w:pPr>
              <w:rPr>
                <w:lang w:val="fr-FR"/>
              </w:rPr>
            </w:pPr>
            <w:r w:rsidRPr="009E5F8A">
              <w:rPr>
                <w:rFonts w:ascii="Arial" w:eastAsia="Arial" w:hAnsi="Arial"/>
                <w:sz w:val="16"/>
                <w:lang w:val="fr-FR"/>
              </w:rPr>
              <w:t>Chantier / capitale en construction</w:t>
            </w:r>
          </w:p>
        </w:tc>
        <w:tc>
          <w:tcPr>
            <w:tcW w:w="2409" w:type="dxa"/>
          </w:tcPr>
          <w:p w14:paraId="788F34BB" w14:textId="77777777" w:rsidR="009E5F8A" w:rsidRPr="009E5F8A" w:rsidRDefault="009E5F8A" w:rsidP="00902867">
            <w:pPr>
              <w:rPr>
                <w:lang w:val="fr-FR"/>
              </w:rPr>
            </w:pPr>
            <w:r w:rsidRPr="009E5F8A">
              <w:rPr>
                <w:rFonts w:ascii="Arial" w:eastAsia="Arial" w:hAnsi="Arial"/>
                <w:sz w:val="16"/>
                <w:lang w:val="fr-FR"/>
              </w:rPr>
              <w:t>Ville établie, économie pétrolière/gazière</w:t>
            </w:r>
          </w:p>
        </w:tc>
      </w:tr>
    </w:tbl>
    <w:p w14:paraId="3D8BB412" w14:textId="77777777" w:rsidR="009E5F8A" w:rsidRPr="009E5F8A" w:rsidRDefault="009E5F8A" w:rsidP="009E5F8A">
      <w:pPr>
        <w:spacing w:before="20" w:after="100"/>
        <w:jc w:val="center"/>
        <w:rPr>
          <w:lang w:val="fr-FR"/>
        </w:rPr>
      </w:pPr>
      <w:r w:rsidRPr="009E5F8A">
        <w:rPr>
          <w:i/>
          <w:color w:val="3C3C3C"/>
          <w:sz w:val="16"/>
          <w:lang w:val="fr-FR"/>
        </w:rPr>
        <w:t>Fig. 0.1 – Comparaison des ampleurs économiques et démographiques (chiffres réels, sources documentées)</w:t>
      </w:r>
    </w:p>
    <w:p w14:paraId="3387D8C7" w14:textId="77777777" w:rsidR="009E5F8A" w:rsidRPr="009E5F8A" w:rsidRDefault="009E5F8A" w:rsidP="009E5F8A">
      <w:pPr>
        <w:pStyle w:val="Heading4"/>
        <w:rPr>
          <w:lang w:val="fr-FR"/>
        </w:rPr>
      </w:pPr>
      <w:r w:rsidRPr="009E5F8A">
        <w:rPr>
          <w:b/>
          <w:i w:val="0"/>
          <w:color w:val="0A2540"/>
          <w:sz w:val="26"/>
          <w:lang w:val="fr-FR"/>
        </w:rPr>
        <w:t>Lecture des ampleurs</w:t>
      </w:r>
    </w:p>
    <w:p w14:paraId="7D9413A5" w14:textId="77777777" w:rsidR="009E5F8A" w:rsidRPr="009E5F8A" w:rsidRDefault="009E5F8A" w:rsidP="009E5F8A">
      <w:pPr>
        <w:spacing w:after="80"/>
        <w:jc w:val="both"/>
        <w:rPr>
          <w:lang w:val="fr-FR"/>
        </w:rPr>
      </w:pPr>
      <w:r w:rsidRPr="009E5F8A">
        <w:rPr>
          <w:sz w:val="19"/>
          <w:lang w:val="fr-FR"/>
        </w:rPr>
        <w:t>Jakarta Agglomération reste d’un autre ordre de grandeur (population × 40 à 400 selon le périmètre de Nusantara, fiscalité locale des dizaines de fois supérieure). Balikpapan, ville la plus importante actuellement sur le littoral de Kalimantan Est, dispose déjà d’une base fiscale locale mesurable et d’un PDRB significatif, alors que Nusantara n’en a quasiment pas encore. L’État porte aujourd’hui la quasi-totalité du financement de Nusantara (allocation 2026 ≈ Rp 6,26 billions), ce qui contraste fortement avec les deux autres villes où existent des recettes propres et une activité privée.</w:t>
      </w:r>
    </w:p>
    <w:p w14:paraId="34C29A7A" w14:textId="77777777" w:rsidR="009E5F8A" w:rsidRPr="009E5F8A" w:rsidRDefault="009E5F8A" w:rsidP="009E5F8A">
      <w:pPr>
        <w:spacing w:after="80"/>
        <w:jc w:val="both"/>
        <w:rPr>
          <w:lang w:val="fr-FR"/>
        </w:rPr>
      </w:pPr>
      <w:r w:rsidRPr="009E5F8A">
        <w:rPr>
          <w:sz w:val="19"/>
          <w:lang w:val="fr-FR"/>
        </w:rPr>
        <w:t>Ces écarts d’ampleur sont le point de départ indispensable pour construire les développements techniques et économiques qui permettront d’optimiser la croissance de Nusantara et, à terme, d’influencer les villes déjà ancrées dans leur routine.</w:t>
      </w:r>
    </w:p>
    <w:p w14:paraId="28AD05A0" w14:textId="77777777" w:rsidR="009E5F8A" w:rsidRPr="009E5F8A" w:rsidRDefault="009E5F8A" w:rsidP="009E5F8A">
      <w:pPr>
        <w:pStyle w:val="Heading4"/>
        <w:rPr>
          <w:lang w:val="fr-FR"/>
        </w:rPr>
      </w:pPr>
      <w:r w:rsidRPr="009E5F8A">
        <w:rPr>
          <w:b/>
          <w:i w:val="0"/>
          <w:color w:val="0A2540"/>
          <w:sz w:val="26"/>
          <w:lang w:val="fr-FR"/>
        </w:rPr>
        <w:t>Données manquantes signalées (MI)</w:t>
      </w:r>
    </w:p>
    <w:p w14:paraId="10BD93A9"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lastRenderedPageBreak/>
        <w:t>PAD / Pajak Daerah exact et définitif de Nusantara 2026 : MI (quasi inexistant).</w:t>
      </w:r>
    </w:p>
    <w:p w14:paraId="53D66747"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PAD définitif post-révision de Balikpapan 2026 : MI (seul le chiffre du projet initial de septembre 2025 est public).</w:t>
      </w:r>
    </w:p>
    <w:p w14:paraId="6344E110"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Répartition précise « fonctionnement vs développement » des Rp 6,26 billions alloués à IKN en 2026 : MI dans les sources ouvertes.</w:t>
      </w:r>
    </w:p>
    <w:p w14:paraId="647B0D95"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PDRB ou estimation d’activité privée de Nusantara 2026 : MI (trop précoce).</w:t>
      </w:r>
    </w:p>
    <w:p w14:paraId="5FC5071C" w14:textId="77777777" w:rsidR="009E5F8A" w:rsidRPr="009E5F8A" w:rsidRDefault="009E5F8A" w:rsidP="009E5F8A">
      <w:pPr>
        <w:pStyle w:val="Heading4"/>
        <w:rPr>
          <w:lang w:val="fr-FR"/>
        </w:rPr>
      </w:pPr>
      <w:r w:rsidRPr="009E5F8A">
        <w:rPr>
          <w:b/>
          <w:i w:val="0"/>
          <w:color w:val="0A2540"/>
          <w:sz w:val="26"/>
          <w:lang w:val="fr-FR"/>
        </w:rPr>
        <w:t>Sources principales</w:t>
      </w:r>
    </w:p>
    <w:p w14:paraId="24AEB249"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Jakarta population agglomération : estimations ONU / Wikipedia (Greater Jakarta ≈ 41,9 millions).</w:t>
      </w:r>
    </w:p>
    <w:p w14:paraId="5CFA70B0"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DKI Pajak Daerah 2026 ≈ Rp 49,9 billions : documents Pemprov / BPKD Jakarta.</w:t>
      </w:r>
    </w:p>
    <w:p w14:paraId="0EC1E56F"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Nusantara population 2026 : NPR (avr. 2026), Wikipedia Nusantara (≈ 10 000 cœur / ≈ 150 000 zone).</w:t>
      </w:r>
    </w:p>
    <w:p w14:paraId="3F8B9077"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Budget IKN 2026 ≈ Rp 6,26 billions : Indonesia Business Post, Tempo, déclarations Ministère des Finances.</w:t>
      </w:r>
    </w:p>
    <w:p w14:paraId="68320776"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Balikpapan population : Disdukcapil Kota Balikpapan (fév. 2026) – 766 502 hab.</w:t>
      </w:r>
    </w:p>
    <w:p w14:paraId="625518BA"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Balikpapan APBD 2026 : Perda APBD signé 30/12/2025 – Recettes Rp 3,245 T / Dépenses Rp 3,517 T.</w:t>
      </w:r>
    </w:p>
    <w:p w14:paraId="75A26FC2"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Balikpapan PAD projet initial : Nota keuangan sept. 2025 – Rp 1,58 T (pajak daerah ≈ Rp 1,33 T).</w:t>
      </w:r>
    </w:p>
    <w:p w14:paraId="73A65DA9"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Balikpapan PDRB 2024 : BPS Balikpapan – Rp 153,57 billions.</w:t>
      </w:r>
    </w:p>
    <w:p w14:paraId="506403B8" w14:textId="77777777" w:rsidR="009E5F8A" w:rsidRPr="009E5F8A" w:rsidRDefault="009E5F8A" w:rsidP="009E5F8A">
      <w:pPr>
        <w:spacing w:after="80"/>
        <w:jc w:val="both"/>
        <w:rPr>
          <w:lang w:val="fr-FR"/>
        </w:rPr>
      </w:pPr>
      <w:r w:rsidRPr="009E5F8A">
        <w:rPr>
          <w:sz w:val="19"/>
          <w:lang w:val="fr-FR"/>
        </w:rPr>
        <w:t>Ce Chapitre 0 fixe les ordres de grandeur réels. Il sert de base de comparaison pour les chapitres techniques et économiques suivants visant l’optimisation de la trajectoire de Nusantara.</w:t>
      </w:r>
    </w:p>
    <w:p w14:paraId="27EF9644" w14:textId="77777777" w:rsidR="009E5F8A" w:rsidRPr="009E5F8A" w:rsidRDefault="009E5F8A" w:rsidP="009E5F8A">
      <w:pPr>
        <w:pStyle w:val="ListBullet"/>
        <w:numPr>
          <w:ilvl w:val="0"/>
          <w:numId w:val="0"/>
        </w:numPr>
        <w:ind w:left="360" w:hanging="360"/>
        <w:rPr>
          <w:lang w:val="fr-FR"/>
        </w:rPr>
      </w:pPr>
    </w:p>
    <w:p w14:paraId="2D64822D" w14:textId="77777777" w:rsidR="009E5F8A" w:rsidRPr="009E5F8A" w:rsidRDefault="009E5F8A" w:rsidP="009E5F8A">
      <w:pPr>
        <w:pStyle w:val="Heading3"/>
        <w:rPr>
          <w:lang w:val="fr-FR"/>
        </w:rPr>
      </w:pPr>
      <w:bookmarkStart w:id="140" w:name="_Toc236489345"/>
      <w:bookmarkStart w:id="141" w:name="_Toc236489424"/>
      <w:r w:rsidRPr="009E5F8A">
        <w:rPr>
          <w:sz w:val="26"/>
          <w:lang w:val="fr-FR"/>
        </w:rPr>
        <w:t>1. Population de référence – Nusantara 2026</w:t>
      </w:r>
      <w:bookmarkEnd w:id="140"/>
      <w:bookmarkEnd w:id="141"/>
    </w:p>
    <w:tbl>
      <w:tblPr>
        <w:tblStyle w:val="TableGrid"/>
        <w:tblW w:w="0" w:type="auto"/>
        <w:jc w:val="center"/>
        <w:tblLook w:val="04A0" w:firstRow="1" w:lastRow="0" w:firstColumn="1" w:lastColumn="0" w:noHBand="0" w:noVBand="1"/>
      </w:tblPr>
      <w:tblGrid>
        <w:gridCol w:w="3210"/>
        <w:gridCol w:w="3209"/>
        <w:gridCol w:w="3209"/>
      </w:tblGrid>
      <w:tr w:rsidR="009E5F8A" w:rsidRPr="009E5F8A" w14:paraId="4DD032D0" w14:textId="77777777" w:rsidTr="00902867">
        <w:trPr>
          <w:jc w:val="center"/>
        </w:trPr>
        <w:tc>
          <w:tcPr>
            <w:tcW w:w="3213" w:type="dxa"/>
          </w:tcPr>
          <w:p w14:paraId="03E2B92A" w14:textId="77777777" w:rsidR="009E5F8A" w:rsidRPr="009E5F8A" w:rsidRDefault="009E5F8A" w:rsidP="00902867">
            <w:pPr>
              <w:rPr>
                <w:lang w:val="fr-FR"/>
              </w:rPr>
            </w:pPr>
            <w:r w:rsidRPr="009E5F8A">
              <w:rPr>
                <w:rFonts w:ascii="Arial" w:eastAsia="Arial" w:hAnsi="Arial"/>
                <w:b/>
                <w:sz w:val="17"/>
                <w:lang w:val="fr-FR"/>
              </w:rPr>
              <w:t>Périmètre</w:t>
            </w:r>
          </w:p>
        </w:tc>
        <w:tc>
          <w:tcPr>
            <w:tcW w:w="3213" w:type="dxa"/>
          </w:tcPr>
          <w:p w14:paraId="2BE6384E" w14:textId="77777777" w:rsidR="009E5F8A" w:rsidRPr="009E5F8A" w:rsidRDefault="009E5F8A" w:rsidP="00902867">
            <w:pPr>
              <w:rPr>
                <w:lang w:val="fr-FR"/>
              </w:rPr>
            </w:pPr>
            <w:r w:rsidRPr="009E5F8A">
              <w:rPr>
                <w:rFonts w:ascii="Arial" w:eastAsia="Arial" w:hAnsi="Arial"/>
                <w:b/>
                <w:sz w:val="17"/>
                <w:lang w:val="fr-FR"/>
              </w:rPr>
              <w:t>Population 2026 (ordre de grandeur)</w:t>
            </w:r>
          </w:p>
        </w:tc>
        <w:tc>
          <w:tcPr>
            <w:tcW w:w="3213" w:type="dxa"/>
          </w:tcPr>
          <w:p w14:paraId="3A0ADD15" w14:textId="77777777" w:rsidR="009E5F8A" w:rsidRPr="009E5F8A" w:rsidRDefault="009E5F8A" w:rsidP="00902867">
            <w:pPr>
              <w:rPr>
                <w:lang w:val="fr-FR"/>
              </w:rPr>
            </w:pPr>
            <w:r w:rsidRPr="009E5F8A">
              <w:rPr>
                <w:rFonts w:ascii="Arial" w:eastAsia="Arial" w:hAnsi="Arial"/>
                <w:b/>
                <w:sz w:val="17"/>
                <w:lang w:val="fr-FR"/>
              </w:rPr>
              <w:t>Commentaire</w:t>
            </w:r>
          </w:p>
        </w:tc>
      </w:tr>
      <w:tr w:rsidR="009E5F8A" w:rsidRPr="009E5F8A" w14:paraId="03F49F08" w14:textId="77777777" w:rsidTr="00902867">
        <w:trPr>
          <w:jc w:val="center"/>
        </w:trPr>
        <w:tc>
          <w:tcPr>
            <w:tcW w:w="3213" w:type="dxa"/>
          </w:tcPr>
          <w:p w14:paraId="473A3AA4" w14:textId="77777777" w:rsidR="009E5F8A" w:rsidRPr="009E5F8A" w:rsidRDefault="009E5F8A" w:rsidP="00902867">
            <w:pPr>
              <w:rPr>
                <w:lang w:val="fr-FR"/>
              </w:rPr>
            </w:pPr>
            <w:r w:rsidRPr="009E5F8A">
              <w:rPr>
                <w:rFonts w:ascii="Arial" w:eastAsia="Arial" w:hAnsi="Arial"/>
                <w:sz w:val="17"/>
                <w:lang w:val="fr-FR"/>
              </w:rPr>
              <w:t>Cœur gouvernemental (KIPP)</w:t>
            </w:r>
          </w:p>
        </w:tc>
        <w:tc>
          <w:tcPr>
            <w:tcW w:w="3213" w:type="dxa"/>
          </w:tcPr>
          <w:p w14:paraId="1FE880B1" w14:textId="77777777" w:rsidR="009E5F8A" w:rsidRPr="009E5F8A" w:rsidRDefault="009E5F8A" w:rsidP="00902867">
            <w:pPr>
              <w:rPr>
                <w:lang w:val="fr-FR"/>
              </w:rPr>
            </w:pPr>
            <w:r w:rsidRPr="009E5F8A">
              <w:rPr>
                <w:rFonts w:ascii="Arial" w:eastAsia="Arial" w:hAnsi="Arial"/>
                <w:sz w:val="17"/>
                <w:lang w:val="fr-FR"/>
              </w:rPr>
              <w:t>≈ 10 000</w:t>
            </w:r>
          </w:p>
        </w:tc>
        <w:tc>
          <w:tcPr>
            <w:tcW w:w="3213" w:type="dxa"/>
          </w:tcPr>
          <w:p w14:paraId="359DDB58" w14:textId="77777777" w:rsidR="009E5F8A" w:rsidRPr="009E5F8A" w:rsidRDefault="009E5F8A" w:rsidP="00902867">
            <w:pPr>
              <w:rPr>
                <w:lang w:val="fr-FR"/>
              </w:rPr>
            </w:pPr>
            <w:r w:rsidRPr="009E5F8A">
              <w:rPr>
                <w:rFonts w:ascii="Arial" w:eastAsia="Arial" w:hAnsi="Arial"/>
                <w:sz w:val="17"/>
                <w:lang w:val="fr-FR"/>
              </w:rPr>
              <w:t>Fonctionnaires + résidents précoces</w:t>
            </w:r>
          </w:p>
        </w:tc>
      </w:tr>
      <w:tr w:rsidR="009E5F8A" w:rsidRPr="009E5F8A" w14:paraId="54062C52" w14:textId="77777777" w:rsidTr="00902867">
        <w:trPr>
          <w:jc w:val="center"/>
        </w:trPr>
        <w:tc>
          <w:tcPr>
            <w:tcW w:w="3213" w:type="dxa"/>
          </w:tcPr>
          <w:p w14:paraId="5A85A423" w14:textId="77777777" w:rsidR="009E5F8A" w:rsidRPr="009E5F8A" w:rsidRDefault="009E5F8A" w:rsidP="00902867">
            <w:pPr>
              <w:rPr>
                <w:lang w:val="fr-FR"/>
              </w:rPr>
            </w:pPr>
            <w:r w:rsidRPr="009E5F8A">
              <w:rPr>
                <w:rFonts w:ascii="Arial" w:eastAsia="Arial" w:hAnsi="Arial"/>
                <w:sz w:val="17"/>
                <w:lang w:val="fr-FR"/>
              </w:rPr>
              <w:t>Zone élargie (villages + chantiers)</w:t>
            </w:r>
          </w:p>
        </w:tc>
        <w:tc>
          <w:tcPr>
            <w:tcW w:w="3213" w:type="dxa"/>
          </w:tcPr>
          <w:p w14:paraId="53F6AF53" w14:textId="77777777" w:rsidR="009E5F8A" w:rsidRPr="009E5F8A" w:rsidRDefault="009E5F8A" w:rsidP="00902867">
            <w:pPr>
              <w:rPr>
                <w:lang w:val="fr-FR"/>
              </w:rPr>
            </w:pPr>
            <w:r w:rsidRPr="009E5F8A">
              <w:rPr>
                <w:rFonts w:ascii="Arial" w:eastAsia="Arial" w:hAnsi="Arial"/>
                <w:sz w:val="17"/>
                <w:lang w:val="fr-FR"/>
              </w:rPr>
              <w:t>≈ 150 000</w:t>
            </w:r>
          </w:p>
        </w:tc>
        <w:tc>
          <w:tcPr>
            <w:tcW w:w="3213" w:type="dxa"/>
          </w:tcPr>
          <w:p w14:paraId="39B0F079" w14:textId="77777777" w:rsidR="009E5F8A" w:rsidRPr="009E5F8A" w:rsidRDefault="009E5F8A" w:rsidP="00902867">
            <w:pPr>
              <w:rPr>
                <w:lang w:val="fr-FR"/>
              </w:rPr>
            </w:pPr>
            <w:r w:rsidRPr="009E5F8A">
              <w:rPr>
                <w:rFonts w:ascii="Arial" w:eastAsia="Arial" w:hAnsi="Arial"/>
                <w:sz w:val="17"/>
                <w:lang w:val="fr-FR"/>
              </w:rPr>
              <w:t>Travailleurs + population préexistante</w:t>
            </w:r>
          </w:p>
        </w:tc>
      </w:tr>
      <w:tr w:rsidR="009E5F8A" w:rsidRPr="009E5F8A" w14:paraId="62E307D3" w14:textId="77777777" w:rsidTr="00902867">
        <w:trPr>
          <w:jc w:val="center"/>
        </w:trPr>
        <w:tc>
          <w:tcPr>
            <w:tcW w:w="3213" w:type="dxa"/>
          </w:tcPr>
          <w:p w14:paraId="0BDF21E1" w14:textId="77777777" w:rsidR="009E5F8A" w:rsidRPr="009E5F8A" w:rsidRDefault="009E5F8A" w:rsidP="00902867">
            <w:pPr>
              <w:rPr>
                <w:lang w:val="fr-FR"/>
              </w:rPr>
            </w:pPr>
            <w:r w:rsidRPr="009E5F8A">
              <w:rPr>
                <w:rFonts w:ascii="Arial" w:eastAsia="Arial" w:hAnsi="Arial"/>
                <w:sz w:val="17"/>
                <w:lang w:val="fr-FR"/>
              </w:rPr>
              <w:t>Objectif officiel 2045 (rappel)</w:t>
            </w:r>
          </w:p>
        </w:tc>
        <w:tc>
          <w:tcPr>
            <w:tcW w:w="3213" w:type="dxa"/>
          </w:tcPr>
          <w:p w14:paraId="0A237149" w14:textId="77777777" w:rsidR="009E5F8A" w:rsidRPr="009E5F8A" w:rsidRDefault="009E5F8A" w:rsidP="00902867">
            <w:pPr>
              <w:rPr>
                <w:lang w:val="fr-FR"/>
              </w:rPr>
            </w:pPr>
            <w:r w:rsidRPr="009E5F8A">
              <w:rPr>
                <w:rFonts w:ascii="Arial" w:eastAsia="Arial" w:hAnsi="Arial"/>
                <w:sz w:val="17"/>
                <w:lang w:val="fr-FR"/>
              </w:rPr>
              <w:t>1,5 – 2 millions</w:t>
            </w:r>
          </w:p>
        </w:tc>
        <w:tc>
          <w:tcPr>
            <w:tcW w:w="3213" w:type="dxa"/>
          </w:tcPr>
          <w:p w14:paraId="0CBDA802" w14:textId="77777777" w:rsidR="009E5F8A" w:rsidRPr="009E5F8A" w:rsidRDefault="009E5F8A" w:rsidP="00902867">
            <w:pPr>
              <w:rPr>
                <w:lang w:val="fr-FR"/>
              </w:rPr>
            </w:pPr>
            <w:r w:rsidRPr="009E5F8A">
              <w:rPr>
                <w:rFonts w:ascii="Arial" w:eastAsia="Arial" w:hAnsi="Arial"/>
                <w:sz w:val="17"/>
                <w:lang w:val="fr-FR"/>
              </w:rPr>
              <w:t>Non atteint ; trajectoire actuelle lente</w:t>
            </w:r>
          </w:p>
        </w:tc>
      </w:tr>
    </w:tbl>
    <w:p w14:paraId="3AB02536" w14:textId="77777777" w:rsidR="009E5F8A" w:rsidRPr="009E5F8A" w:rsidRDefault="009E5F8A" w:rsidP="009E5F8A">
      <w:pPr>
        <w:spacing w:before="40" w:after="120"/>
        <w:jc w:val="center"/>
        <w:rPr>
          <w:lang w:val="fr-FR"/>
        </w:rPr>
      </w:pPr>
      <w:r w:rsidRPr="009E5F8A">
        <w:rPr>
          <w:i/>
          <w:color w:val="3C3C3C"/>
          <w:sz w:val="17"/>
          <w:lang w:val="fr-FR"/>
        </w:rPr>
        <w:t>Fig. 1 – Population de Nusantara en 2026 (données OSINT)</w:t>
      </w:r>
    </w:p>
    <w:p w14:paraId="12905040" w14:textId="77777777" w:rsidR="009E5F8A" w:rsidRPr="009E5F8A" w:rsidRDefault="009E5F8A" w:rsidP="009E5F8A">
      <w:pPr>
        <w:pStyle w:val="Heading3"/>
        <w:rPr>
          <w:lang w:val="fr-FR"/>
        </w:rPr>
      </w:pPr>
      <w:bookmarkStart w:id="142" w:name="_Toc236489346"/>
      <w:bookmarkStart w:id="143" w:name="_Toc236489425"/>
      <w:r w:rsidRPr="009E5F8A">
        <w:rPr>
          <w:sz w:val="26"/>
          <w:lang w:val="fr-FR"/>
        </w:rPr>
        <w:t>2. Principe de base du modèle financier</w:t>
      </w:r>
      <w:bookmarkEnd w:id="142"/>
      <w:bookmarkEnd w:id="143"/>
    </w:p>
    <w:p w14:paraId="4563739A" w14:textId="77777777" w:rsidR="009E5F8A" w:rsidRPr="009E5F8A" w:rsidRDefault="009E5F8A" w:rsidP="009E5F8A">
      <w:pPr>
        <w:spacing w:after="80"/>
        <w:jc w:val="both"/>
        <w:rPr>
          <w:lang w:val="fr-FR"/>
        </w:rPr>
      </w:pPr>
      <w:r w:rsidRPr="009E5F8A">
        <w:rPr>
          <w:sz w:val="19"/>
          <w:lang w:val="fr-FR"/>
        </w:rPr>
        <w:t>Base locale théorique = 1,00 € = Impôts locaux (Pajak Daerah) de Nusantara ramenés à 1,00 €.</w:t>
      </w:r>
    </w:p>
    <w:p w14:paraId="1356B84F" w14:textId="77777777" w:rsidR="009E5F8A" w:rsidRPr="009E5F8A" w:rsidRDefault="009E5F8A" w:rsidP="009E5F8A">
      <w:pPr>
        <w:spacing w:after="80"/>
        <w:jc w:val="both"/>
        <w:rPr>
          <w:lang w:val="fr-FR"/>
        </w:rPr>
      </w:pPr>
      <w:r w:rsidRPr="009E5F8A">
        <w:rPr>
          <w:sz w:val="19"/>
          <w:lang w:val="fr-FR"/>
        </w:rPr>
        <w:t>En réalité, en 2026, les recettes locales propres sont encore trop faibles pour constituer une base solide. Le modèle conserve néanmoins la même structure que pour Jakarta afin de permettre la comparaison future, tout en indiquant clairement que l’État central fournit l’essentiel des ressources.</w:t>
      </w:r>
    </w:p>
    <w:p w14:paraId="00E96E9E" w14:textId="77777777" w:rsidR="009E5F8A" w:rsidRPr="009E5F8A" w:rsidRDefault="009E5F8A" w:rsidP="009E5F8A">
      <w:pPr>
        <w:pStyle w:val="Heading3"/>
        <w:rPr>
          <w:lang w:val="fr-FR"/>
        </w:rPr>
      </w:pPr>
      <w:bookmarkStart w:id="144" w:name="_Toc236489347"/>
      <w:bookmarkStart w:id="145" w:name="_Toc236489426"/>
      <w:r w:rsidRPr="009E5F8A">
        <w:rPr>
          <w:sz w:val="26"/>
          <w:lang w:val="fr-FR"/>
        </w:rPr>
        <w:t>3. Chapitre 1 – Le 1,00 € local (situation réelle 2026)</w:t>
      </w:r>
      <w:bookmarkEnd w:id="144"/>
      <w:bookmarkEnd w:id="145"/>
    </w:p>
    <w:p w14:paraId="1645548E" w14:textId="77777777" w:rsidR="009E5F8A" w:rsidRPr="009E5F8A" w:rsidRDefault="009E5F8A" w:rsidP="009E5F8A">
      <w:pPr>
        <w:spacing w:after="80"/>
        <w:jc w:val="both"/>
        <w:rPr>
          <w:lang w:val="fr-FR"/>
        </w:rPr>
      </w:pPr>
      <w:r w:rsidRPr="009E5F8A">
        <w:rPr>
          <w:sz w:val="19"/>
          <w:lang w:val="fr-FR"/>
        </w:rPr>
        <w:t>Les impôts locaux de Nusantara sont actuellement marginaux. Pour les besoins de la transparence, on pose symboliquement 1,00 € comme référence, tout en soulignant que le volume réel est proche de zéro par rapport à Jakarta.</w:t>
      </w:r>
    </w:p>
    <w:p w14:paraId="7CC9850E" w14:textId="77777777" w:rsidR="009E5F8A" w:rsidRPr="009E5F8A" w:rsidRDefault="009E5F8A" w:rsidP="009E5F8A">
      <w:pPr>
        <w:spacing w:after="80"/>
        <w:jc w:val="both"/>
        <w:rPr>
          <w:lang w:val="fr-FR"/>
        </w:rPr>
      </w:pPr>
      <w:r w:rsidRPr="009E5F8A">
        <w:rPr>
          <w:sz w:val="19"/>
          <w:lang w:val="fr-FR"/>
        </w:rPr>
        <w:t>Répartition indicative des priorités de dépense locale (lorsque des recettes locales existeront) – adaptée au stade de construction :</w:t>
      </w:r>
    </w:p>
    <w:tbl>
      <w:tblPr>
        <w:tblStyle w:val="TableGrid"/>
        <w:tblW w:w="0" w:type="auto"/>
        <w:jc w:val="center"/>
        <w:tblLook w:val="04A0" w:firstRow="1" w:lastRow="0" w:firstColumn="1" w:lastColumn="0" w:noHBand="0" w:noVBand="1"/>
      </w:tblPr>
      <w:tblGrid>
        <w:gridCol w:w="4814"/>
        <w:gridCol w:w="4814"/>
      </w:tblGrid>
      <w:tr w:rsidR="009E5F8A" w:rsidRPr="009E5F8A" w14:paraId="52A43549" w14:textId="77777777" w:rsidTr="00902867">
        <w:trPr>
          <w:jc w:val="center"/>
        </w:trPr>
        <w:tc>
          <w:tcPr>
            <w:tcW w:w="4819" w:type="dxa"/>
          </w:tcPr>
          <w:p w14:paraId="5A025BA3" w14:textId="77777777" w:rsidR="009E5F8A" w:rsidRPr="009E5F8A" w:rsidRDefault="009E5F8A" w:rsidP="00902867">
            <w:pPr>
              <w:rPr>
                <w:lang w:val="fr-FR"/>
              </w:rPr>
            </w:pPr>
            <w:r w:rsidRPr="009E5F8A">
              <w:rPr>
                <w:rFonts w:ascii="Arial" w:eastAsia="Arial" w:hAnsi="Arial"/>
                <w:b/>
                <w:sz w:val="17"/>
                <w:lang w:val="fr-FR"/>
              </w:rPr>
              <w:t>Catégorie (priorités de construction)</w:t>
            </w:r>
          </w:p>
        </w:tc>
        <w:tc>
          <w:tcPr>
            <w:tcW w:w="4819" w:type="dxa"/>
          </w:tcPr>
          <w:p w14:paraId="278273E1" w14:textId="77777777" w:rsidR="009E5F8A" w:rsidRPr="009E5F8A" w:rsidRDefault="009E5F8A" w:rsidP="00902867">
            <w:pPr>
              <w:rPr>
                <w:lang w:val="fr-FR"/>
              </w:rPr>
            </w:pPr>
            <w:r w:rsidRPr="009E5F8A">
              <w:rPr>
                <w:rFonts w:ascii="Arial" w:eastAsia="Arial" w:hAnsi="Arial"/>
                <w:b/>
                <w:sz w:val="17"/>
                <w:lang w:val="fr-FR"/>
              </w:rPr>
              <w:t>Poids relatif symbolique</w:t>
            </w:r>
          </w:p>
        </w:tc>
      </w:tr>
      <w:tr w:rsidR="009E5F8A" w:rsidRPr="009E5F8A" w14:paraId="392B06FD" w14:textId="77777777" w:rsidTr="00902867">
        <w:trPr>
          <w:jc w:val="center"/>
        </w:trPr>
        <w:tc>
          <w:tcPr>
            <w:tcW w:w="4819" w:type="dxa"/>
          </w:tcPr>
          <w:p w14:paraId="009D145B" w14:textId="77777777" w:rsidR="009E5F8A" w:rsidRPr="009E5F8A" w:rsidRDefault="009E5F8A" w:rsidP="00902867">
            <w:pPr>
              <w:rPr>
                <w:lang w:val="fr-FR"/>
              </w:rPr>
            </w:pPr>
            <w:r w:rsidRPr="009E5F8A">
              <w:rPr>
                <w:rFonts w:ascii="Arial" w:eastAsia="Arial" w:hAnsi="Arial"/>
                <w:sz w:val="17"/>
                <w:lang w:val="fr-FR"/>
              </w:rPr>
              <w:t>Infrastructures de base &amp; voirie</w:t>
            </w:r>
          </w:p>
        </w:tc>
        <w:tc>
          <w:tcPr>
            <w:tcW w:w="4819" w:type="dxa"/>
          </w:tcPr>
          <w:p w14:paraId="25228A94" w14:textId="77777777" w:rsidR="009E5F8A" w:rsidRPr="009E5F8A" w:rsidRDefault="009E5F8A" w:rsidP="00902867">
            <w:pPr>
              <w:rPr>
                <w:lang w:val="fr-FR"/>
              </w:rPr>
            </w:pPr>
            <w:r w:rsidRPr="009E5F8A">
              <w:rPr>
                <w:rFonts w:ascii="Arial" w:eastAsia="Arial" w:hAnsi="Arial"/>
                <w:sz w:val="17"/>
                <w:lang w:val="fr-FR"/>
              </w:rPr>
              <w:t>0,25 €</w:t>
            </w:r>
          </w:p>
        </w:tc>
      </w:tr>
      <w:tr w:rsidR="009E5F8A" w:rsidRPr="009E5F8A" w14:paraId="66C85419" w14:textId="77777777" w:rsidTr="00902867">
        <w:trPr>
          <w:jc w:val="center"/>
        </w:trPr>
        <w:tc>
          <w:tcPr>
            <w:tcW w:w="4819" w:type="dxa"/>
          </w:tcPr>
          <w:p w14:paraId="42B7F83B" w14:textId="77777777" w:rsidR="009E5F8A" w:rsidRPr="009E5F8A" w:rsidRDefault="009E5F8A" w:rsidP="00902867">
            <w:pPr>
              <w:rPr>
                <w:lang w:val="fr-FR"/>
              </w:rPr>
            </w:pPr>
            <w:r w:rsidRPr="009E5F8A">
              <w:rPr>
                <w:rFonts w:ascii="Arial" w:eastAsia="Arial" w:hAnsi="Arial"/>
                <w:sz w:val="17"/>
                <w:lang w:val="fr-FR"/>
              </w:rPr>
              <w:t>Logements fonctionnaires &amp; services</w:t>
            </w:r>
          </w:p>
        </w:tc>
        <w:tc>
          <w:tcPr>
            <w:tcW w:w="4819" w:type="dxa"/>
          </w:tcPr>
          <w:p w14:paraId="26BAC946" w14:textId="77777777" w:rsidR="009E5F8A" w:rsidRPr="009E5F8A" w:rsidRDefault="009E5F8A" w:rsidP="00902867">
            <w:pPr>
              <w:rPr>
                <w:lang w:val="fr-FR"/>
              </w:rPr>
            </w:pPr>
            <w:r w:rsidRPr="009E5F8A">
              <w:rPr>
                <w:rFonts w:ascii="Arial" w:eastAsia="Arial" w:hAnsi="Arial"/>
                <w:sz w:val="17"/>
                <w:lang w:val="fr-FR"/>
              </w:rPr>
              <w:t>0,20 €</w:t>
            </w:r>
          </w:p>
        </w:tc>
      </w:tr>
      <w:tr w:rsidR="009E5F8A" w:rsidRPr="009E5F8A" w14:paraId="418DCAD9" w14:textId="77777777" w:rsidTr="00902867">
        <w:trPr>
          <w:jc w:val="center"/>
        </w:trPr>
        <w:tc>
          <w:tcPr>
            <w:tcW w:w="4819" w:type="dxa"/>
          </w:tcPr>
          <w:p w14:paraId="2E4F42D6" w14:textId="77777777" w:rsidR="009E5F8A" w:rsidRPr="009E5F8A" w:rsidRDefault="009E5F8A" w:rsidP="00902867">
            <w:pPr>
              <w:rPr>
                <w:lang w:val="fr-FR"/>
              </w:rPr>
            </w:pPr>
            <w:r w:rsidRPr="009E5F8A">
              <w:rPr>
                <w:rFonts w:ascii="Arial" w:eastAsia="Arial" w:hAnsi="Arial"/>
                <w:sz w:val="17"/>
                <w:lang w:val="fr-FR"/>
              </w:rPr>
              <w:t>Eau, assainissement, drainage</w:t>
            </w:r>
          </w:p>
        </w:tc>
        <w:tc>
          <w:tcPr>
            <w:tcW w:w="4819" w:type="dxa"/>
          </w:tcPr>
          <w:p w14:paraId="31C3D9F8" w14:textId="77777777" w:rsidR="009E5F8A" w:rsidRPr="009E5F8A" w:rsidRDefault="009E5F8A" w:rsidP="00902867">
            <w:pPr>
              <w:rPr>
                <w:lang w:val="fr-FR"/>
              </w:rPr>
            </w:pPr>
            <w:r w:rsidRPr="009E5F8A">
              <w:rPr>
                <w:rFonts w:ascii="Arial" w:eastAsia="Arial" w:hAnsi="Arial"/>
                <w:sz w:val="17"/>
                <w:lang w:val="fr-FR"/>
              </w:rPr>
              <w:t>0,15 €</w:t>
            </w:r>
          </w:p>
        </w:tc>
      </w:tr>
      <w:tr w:rsidR="009E5F8A" w:rsidRPr="009E5F8A" w14:paraId="045F4A3A" w14:textId="77777777" w:rsidTr="00902867">
        <w:trPr>
          <w:jc w:val="center"/>
        </w:trPr>
        <w:tc>
          <w:tcPr>
            <w:tcW w:w="4819" w:type="dxa"/>
          </w:tcPr>
          <w:p w14:paraId="77ABB2CE" w14:textId="77777777" w:rsidR="009E5F8A" w:rsidRPr="009E5F8A" w:rsidRDefault="009E5F8A" w:rsidP="00902867">
            <w:pPr>
              <w:rPr>
                <w:lang w:val="fr-FR"/>
              </w:rPr>
            </w:pPr>
            <w:r w:rsidRPr="009E5F8A">
              <w:rPr>
                <w:rFonts w:ascii="Arial" w:eastAsia="Arial" w:hAnsi="Arial"/>
                <w:sz w:val="17"/>
                <w:lang w:val="fr-FR"/>
              </w:rPr>
              <w:t>Énergie &amp; premiers réseaux</w:t>
            </w:r>
          </w:p>
        </w:tc>
        <w:tc>
          <w:tcPr>
            <w:tcW w:w="4819" w:type="dxa"/>
          </w:tcPr>
          <w:p w14:paraId="10F79016" w14:textId="77777777" w:rsidR="009E5F8A" w:rsidRPr="009E5F8A" w:rsidRDefault="009E5F8A" w:rsidP="00902867">
            <w:pPr>
              <w:rPr>
                <w:lang w:val="fr-FR"/>
              </w:rPr>
            </w:pPr>
            <w:r w:rsidRPr="009E5F8A">
              <w:rPr>
                <w:rFonts w:ascii="Arial" w:eastAsia="Arial" w:hAnsi="Arial"/>
                <w:sz w:val="17"/>
                <w:lang w:val="fr-FR"/>
              </w:rPr>
              <w:t>0,12 €</w:t>
            </w:r>
          </w:p>
        </w:tc>
      </w:tr>
      <w:tr w:rsidR="009E5F8A" w:rsidRPr="009E5F8A" w14:paraId="1B299AC1" w14:textId="77777777" w:rsidTr="00902867">
        <w:trPr>
          <w:jc w:val="center"/>
        </w:trPr>
        <w:tc>
          <w:tcPr>
            <w:tcW w:w="4819" w:type="dxa"/>
          </w:tcPr>
          <w:p w14:paraId="56AF4951" w14:textId="77777777" w:rsidR="009E5F8A" w:rsidRPr="009E5F8A" w:rsidRDefault="009E5F8A" w:rsidP="00902867">
            <w:pPr>
              <w:rPr>
                <w:lang w:val="fr-FR"/>
              </w:rPr>
            </w:pPr>
            <w:r w:rsidRPr="009E5F8A">
              <w:rPr>
                <w:rFonts w:ascii="Arial" w:eastAsia="Arial" w:hAnsi="Arial"/>
                <w:sz w:val="17"/>
                <w:lang w:val="fr-FR"/>
              </w:rPr>
              <w:t>Espaces verts / forest city</w:t>
            </w:r>
          </w:p>
        </w:tc>
        <w:tc>
          <w:tcPr>
            <w:tcW w:w="4819" w:type="dxa"/>
          </w:tcPr>
          <w:p w14:paraId="1D9C95C0" w14:textId="77777777" w:rsidR="009E5F8A" w:rsidRPr="009E5F8A" w:rsidRDefault="009E5F8A" w:rsidP="00902867">
            <w:pPr>
              <w:rPr>
                <w:lang w:val="fr-FR"/>
              </w:rPr>
            </w:pPr>
            <w:r w:rsidRPr="009E5F8A">
              <w:rPr>
                <w:rFonts w:ascii="Arial" w:eastAsia="Arial" w:hAnsi="Arial"/>
                <w:sz w:val="17"/>
                <w:lang w:val="fr-FR"/>
              </w:rPr>
              <w:t>0,08 €</w:t>
            </w:r>
          </w:p>
        </w:tc>
      </w:tr>
      <w:tr w:rsidR="009E5F8A" w:rsidRPr="009E5F8A" w14:paraId="4B5EC027" w14:textId="77777777" w:rsidTr="00902867">
        <w:trPr>
          <w:jc w:val="center"/>
        </w:trPr>
        <w:tc>
          <w:tcPr>
            <w:tcW w:w="4819" w:type="dxa"/>
          </w:tcPr>
          <w:p w14:paraId="262293D7" w14:textId="77777777" w:rsidR="009E5F8A" w:rsidRPr="009E5F8A" w:rsidRDefault="009E5F8A" w:rsidP="00902867">
            <w:pPr>
              <w:rPr>
                <w:lang w:val="fr-FR"/>
              </w:rPr>
            </w:pPr>
            <w:r w:rsidRPr="009E5F8A">
              <w:rPr>
                <w:rFonts w:ascii="Arial" w:eastAsia="Arial" w:hAnsi="Arial"/>
                <w:sz w:val="17"/>
                <w:lang w:val="fr-FR"/>
              </w:rPr>
              <w:t>Administration &amp; gouvernance</w:t>
            </w:r>
          </w:p>
        </w:tc>
        <w:tc>
          <w:tcPr>
            <w:tcW w:w="4819" w:type="dxa"/>
          </w:tcPr>
          <w:p w14:paraId="178E5BA6" w14:textId="77777777" w:rsidR="009E5F8A" w:rsidRPr="009E5F8A" w:rsidRDefault="009E5F8A" w:rsidP="00902867">
            <w:pPr>
              <w:rPr>
                <w:lang w:val="fr-FR"/>
              </w:rPr>
            </w:pPr>
            <w:r w:rsidRPr="009E5F8A">
              <w:rPr>
                <w:rFonts w:ascii="Arial" w:eastAsia="Arial" w:hAnsi="Arial"/>
                <w:sz w:val="17"/>
                <w:lang w:val="fr-FR"/>
              </w:rPr>
              <w:t>0,08 €</w:t>
            </w:r>
          </w:p>
        </w:tc>
      </w:tr>
      <w:tr w:rsidR="009E5F8A" w:rsidRPr="009E5F8A" w14:paraId="55E578FD" w14:textId="77777777" w:rsidTr="00902867">
        <w:trPr>
          <w:jc w:val="center"/>
        </w:trPr>
        <w:tc>
          <w:tcPr>
            <w:tcW w:w="4819" w:type="dxa"/>
          </w:tcPr>
          <w:p w14:paraId="0CFE71A3" w14:textId="77777777" w:rsidR="009E5F8A" w:rsidRPr="009E5F8A" w:rsidRDefault="009E5F8A" w:rsidP="00902867">
            <w:pPr>
              <w:rPr>
                <w:lang w:val="fr-FR"/>
              </w:rPr>
            </w:pPr>
            <w:r w:rsidRPr="009E5F8A">
              <w:rPr>
                <w:rFonts w:ascii="Arial" w:eastAsia="Arial" w:hAnsi="Arial"/>
                <w:sz w:val="17"/>
                <w:lang w:val="fr-FR"/>
              </w:rPr>
              <w:t>Équipements publics de base</w:t>
            </w:r>
          </w:p>
        </w:tc>
        <w:tc>
          <w:tcPr>
            <w:tcW w:w="4819" w:type="dxa"/>
          </w:tcPr>
          <w:p w14:paraId="185A290C" w14:textId="77777777" w:rsidR="009E5F8A" w:rsidRPr="009E5F8A" w:rsidRDefault="009E5F8A" w:rsidP="00902867">
            <w:pPr>
              <w:rPr>
                <w:lang w:val="fr-FR"/>
              </w:rPr>
            </w:pPr>
            <w:r w:rsidRPr="009E5F8A">
              <w:rPr>
                <w:rFonts w:ascii="Arial" w:eastAsia="Arial" w:hAnsi="Arial"/>
                <w:sz w:val="17"/>
                <w:lang w:val="fr-FR"/>
              </w:rPr>
              <w:t>0,07 €</w:t>
            </w:r>
          </w:p>
        </w:tc>
      </w:tr>
      <w:tr w:rsidR="009E5F8A" w:rsidRPr="009E5F8A" w14:paraId="5601AA53" w14:textId="77777777" w:rsidTr="00902867">
        <w:trPr>
          <w:jc w:val="center"/>
        </w:trPr>
        <w:tc>
          <w:tcPr>
            <w:tcW w:w="4819" w:type="dxa"/>
          </w:tcPr>
          <w:p w14:paraId="5F5F74A0" w14:textId="77777777" w:rsidR="009E5F8A" w:rsidRPr="009E5F8A" w:rsidRDefault="009E5F8A" w:rsidP="00902867">
            <w:pPr>
              <w:rPr>
                <w:lang w:val="fr-FR"/>
              </w:rPr>
            </w:pPr>
            <w:r w:rsidRPr="009E5F8A">
              <w:rPr>
                <w:rFonts w:ascii="Arial" w:eastAsia="Arial" w:hAnsi="Arial"/>
                <w:sz w:val="17"/>
                <w:lang w:val="fr-FR"/>
              </w:rPr>
              <w:t>Autres / imprévus</w:t>
            </w:r>
          </w:p>
        </w:tc>
        <w:tc>
          <w:tcPr>
            <w:tcW w:w="4819" w:type="dxa"/>
          </w:tcPr>
          <w:p w14:paraId="6C09FB7C" w14:textId="77777777" w:rsidR="009E5F8A" w:rsidRPr="009E5F8A" w:rsidRDefault="009E5F8A" w:rsidP="00902867">
            <w:pPr>
              <w:rPr>
                <w:lang w:val="fr-FR"/>
              </w:rPr>
            </w:pPr>
            <w:r w:rsidRPr="009E5F8A">
              <w:rPr>
                <w:rFonts w:ascii="Arial" w:eastAsia="Arial" w:hAnsi="Arial"/>
                <w:sz w:val="17"/>
                <w:lang w:val="fr-FR"/>
              </w:rPr>
              <w:t>0,05 €</w:t>
            </w:r>
          </w:p>
        </w:tc>
      </w:tr>
      <w:tr w:rsidR="009E5F8A" w:rsidRPr="009E5F8A" w14:paraId="1F6A1496" w14:textId="77777777" w:rsidTr="00902867">
        <w:trPr>
          <w:jc w:val="center"/>
        </w:trPr>
        <w:tc>
          <w:tcPr>
            <w:tcW w:w="4819" w:type="dxa"/>
          </w:tcPr>
          <w:p w14:paraId="18F009BF" w14:textId="77777777" w:rsidR="009E5F8A" w:rsidRPr="009E5F8A" w:rsidRDefault="009E5F8A" w:rsidP="00902867">
            <w:pPr>
              <w:rPr>
                <w:lang w:val="fr-FR"/>
              </w:rPr>
            </w:pPr>
            <w:r w:rsidRPr="009E5F8A">
              <w:rPr>
                <w:rFonts w:ascii="Arial" w:eastAsia="Arial" w:hAnsi="Arial"/>
                <w:b/>
                <w:sz w:val="17"/>
                <w:lang w:val="fr-FR"/>
              </w:rPr>
              <w:t>Total symbolique</w:t>
            </w:r>
          </w:p>
        </w:tc>
        <w:tc>
          <w:tcPr>
            <w:tcW w:w="4819" w:type="dxa"/>
          </w:tcPr>
          <w:p w14:paraId="4BB2A4D3" w14:textId="77777777" w:rsidR="009E5F8A" w:rsidRPr="009E5F8A" w:rsidRDefault="009E5F8A" w:rsidP="00902867">
            <w:pPr>
              <w:rPr>
                <w:lang w:val="fr-FR"/>
              </w:rPr>
            </w:pPr>
            <w:r w:rsidRPr="009E5F8A">
              <w:rPr>
                <w:rFonts w:ascii="Arial" w:eastAsia="Arial" w:hAnsi="Arial"/>
                <w:b/>
                <w:sz w:val="17"/>
                <w:lang w:val="fr-FR"/>
              </w:rPr>
              <w:t>1,00 €</w:t>
            </w:r>
          </w:p>
        </w:tc>
      </w:tr>
    </w:tbl>
    <w:p w14:paraId="43A4817A" w14:textId="77777777" w:rsidR="009E5F8A" w:rsidRPr="009E5F8A" w:rsidRDefault="009E5F8A" w:rsidP="009E5F8A">
      <w:pPr>
        <w:spacing w:before="40" w:after="120"/>
        <w:jc w:val="center"/>
        <w:rPr>
          <w:lang w:val="fr-FR"/>
        </w:rPr>
      </w:pPr>
      <w:r w:rsidRPr="009E5F8A">
        <w:rPr>
          <w:i/>
          <w:color w:val="3C3C3C"/>
          <w:sz w:val="17"/>
          <w:lang w:val="fr-FR"/>
        </w:rPr>
        <w:t>Fig. 2 – Répartition symbolique du 1,00 € local (Nusantara 2026 – base encore quasi nulle)</w:t>
      </w:r>
    </w:p>
    <w:p w14:paraId="19080DFF" w14:textId="77777777" w:rsidR="009E5F8A" w:rsidRPr="009E5F8A" w:rsidRDefault="009E5F8A" w:rsidP="009E5F8A">
      <w:pPr>
        <w:pStyle w:val="Heading3"/>
        <w:rPr>
          <w:lang w:val="fr-FR"/>
        </w:rPr>
      </w:pPr>
      <w:bookmarkStart w:id="146" w:name="_Toc236489348"/>
      <w:bookmarkStart w:id="147" w:name="_Toc236489427"/>
      <w:r w:rsidRPr="009E5F8A">
        <w:rPr>
          <w:sz w:val="26"/>
          <w:lang w:val="fr-FR"/>
        </w:rPr>
        <w:t>4. Chapitre 2 – Investissements et dépenses de l’État central</w:t>
      </w:r>
      <w:bookmarkEnd w:id="146"/>
      <w:bookmarkEnd w:id="147"/>
    </w:p>
    <w:p w14:paraId="650DBFF5" w14:textId="77777777" w:rsidR="009E5F8A" w:rsidRPr="009E5F8A" w:rsidRDefault="009E5F8A" w:rsidP="009E5F8A">
      <w:pPr>
        <w:spacing w:after="80"/>
        <w:jc w:val="both"/>
        <w:rPr>
          <w:lang w:val="fr-FR"/>
        </w:rPr>
      </w:pPr>
      <w:r w:rsidRPr="009E5F8A">
        <w:rPr>
          <w:sz w:val="19"/>
          <w:lang w:val="fr-FR"/>
        </w:rPr>
        <w:t>C’est le poste dominant en 2026.</w:t>
      </w:r>
    </w:p>
    <w:p w14:paraId="5B8A0F6A"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Allocation budgétaire IKN 2026 (APBN) : ≈ Rp 6,26 billions (environ 300 – 310 millions € selon taux de change).</w:t>
      </w:r>
    </w:p>
    <w:p w14:paraId="5A7E478C"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Engagements multi-annuels Phase 2 (2025-2029) : autour de Rp 48,8 billions au total.</w:t>
      </w:r>
    </w:p>
    <w:p w14:paraId="398BB13B"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Par rapport à un 1,00 € local symbolique, les flux de l’État représentent plusieurs centaines de milliers d’euros (voire plus) pour chaque euro local théorique.</w:t>
      </w:r>
    </w:p>
    <w:p w14:paraId="3F1B0970" w14:textId="77777777" w:rsidR="009E5F8A" w:rsidRPr="009E5F8A" w:rsidRDefault="009E5F8A" w:rsidP="009E5F8A">
      <w:pPr>
        <w:spacing w:after="80"/>
        <w:jc w:val="both"/>
        <w:rPr>
          <w:lang w:val="fr-FR"/>
        </w:rPr>
      </w:pPr>
      <w:r w:rsidRPr="009E5F8A">
        <w:rPr>
          <w:sz w:val="19"/>
          <w:lang w:val="fr-FR"/>
        </w:rPr>
        <w:lastRenderedPageBreak/>
        <w:t>En termes simples : pour 1 € d’impôt local théorique, l’État injecte actuellement l’équivalent de plusieurs centaines de milliers d’euros en investissement et fonctionnement.</w:t>
      </w:r>
    </w:p>
    <w:p w14:paraId="0B45E1D6" w14:textId="77777777" w:rsidR="009E5F8A" w:rsidRPr="009E5F8A" w:rsidRDefault="009E5F8A" w:rsidP="009E5F8A">
      <w:pPr>
        <w:pStyle w:val="Heading3"/>
        <w:rPr>
          <w:lang w:val="fr-FR"/>
        </w:rPr>
      </w:pPr>
      <w:bookmarkStart w:id="148" w:name="_Toc236489349"/>
      <w:bookmarkStart w:id="149" w:name="_Toc236489428"/>
      <w:r w:rsidRPr="009E5F8A">
        <w:rPr>
          <w:sz w:val="26"/>
          <w:lang w:val="fr-FR"/>
        </w:rPr>
        <w:t>5. Chapitre 3 – Dépenses des habitants et activité privée</w:t>
      </w:r>
      <w:bookmarkEnd w:id="148"/>
      <w:bookmarkEnd w:id="149"/>
    </w:p>
    <w:p w14:paraId="12F5818C" w14:textId="77777777" w:rsidR="009E5F8A" w:rsidRPr="009E5F8A" w:rsidRDefault="009E5F8A" w:rsidP="009E5F8A">
      <w:pPr>
        <w:spacing w:after="80"/>
        <w:jc w:val="both"/>
        <w:rPr>
          <w:lang w:val="fr-FR"/>
        </w:rPr>
      </w:pPr>
      <w:r w:rsidRPr="009E5F8A">
        <w:rPr>
          <w:sz w:val="19"/>
          <w:lang w:val="fr-FR"/>
        </w:rPr>
        <w:t>L’activité privée et les dépenses des ménages sont encore très limitées. Elles concernent principalement :</w:t>
      </w:r>
    </w:p>
    <w:p w14:paraId="6F77912D"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Les travailleurs du chantier et leurs besoins de base.</w:t>
      </w:r>
    </w:p>
    <w:p w14:paraId="590969D3"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Les premiers fonctionnaires et leurs familles.</w:t>
      </w:r>
    </w:p>
    <w:p w14:paraId="592DB4DE"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Quelques services de support (restauration, transport local, commerce de proximité).</w:t>
      </w:r>
    </w:p>
    <w:p w14:paraId="49809418" w14:textId="77777777" w:rsidR="009E5F8A" w:rsidRPr="009E5F8A" w:rsidRDefault="009E5F8A" w:rsidP="009E5F8A">
      <w:pPr>
        <w:spacing w:after="80"/>
        <w:jc w:val="both"/>
        <w:rPr>
          <w:lang w:val="fr-FR"/>
        </w:rPr>
      </w:pPr>
      <w:r w:rsidRPr="009E5F8A">
        <w:rPr>
          <w:sz w:val="19"/>
          <w:lang w:val="fr-FR"/>
        </w:rPr>
        <w:t>Le volume de dépenses privées reste marginal par rapport aux flux de l’État. Il n’existe pas encore de masse critique de consommation comparable à une ville établie.</w:t>
      </w:r>
    </w:p>
    <w:p w14:paraId="64BE48B0" w14:textId="77777777" w:rsidR="009E5F8A" w:rsidRPr="009E5F8A" w:rsidRDefault="009E5F8A" w:rsidP="009E5F8A">
      <w:pPr>
        <w:pStyle w:val="Heading3"/>
        <w:rPr>
          <w:lang w:val="fr-FR"/>
        </w:rPr>
      </w:pPr>
      <w:bookmarkStart w:id="150" w:name="_Toc236489350"/>
      <w:bookmarkStart w:id="151" w:name="_Toc236489429"/>
      <w:r w:rsidRPr="009E5F8A">
        <w:rPr>
          <w:sz w:val="26"/>
          <w:lang w:val="fr-FR"/>
        </w:rPr>
        <w:t>6. Synthèse financière 2026 – Nusantara</w:t>
      </w:r>
      <w:bookmarkEnd w:id="150"/>
      <w:bookmarkEnd w:id="151"/>
    </w:p>
    <w:tbl>
      <w:tblPr>
        <w:tblStyle w:val="TableGrid"/>
        <w:tblW w:w="0" w:type="auto"/>
        <w:jc w:val="center"/>
        <w:tblLook w:val="04A0" w:firstRow="1" w:lastRow="0" w:firstColumn="1" w:lastColumn="0" w:noHBand="0" w:noVBand="1"/>
      </w:tblPr>
      <w:tblGrid>
        <w:gridCol w:w="4814"/>
        <w:gridCol w:w="4814"/>
      </w:tblGrid>
      <w:tr w:rsidR="009E5F8A" w:rsidRPr="009E5F8A" w14:paraId="3284D58A" w14:textId="77777777" w:rsidTr="00902867">
        <w:trPr>
          <w:jc w:val="center"/>
        </w:trPr>
        <w:tc>
          <w:tcPr>
            <w:tcW w:w="4819" w:type="dxa"/>
          </w:tcPr>
          <w:p w14:paraId="72F77E52" w14:textId="77777777" w:rsidR="009E5F8A" w:rsidRPr="009E5F8A" w:rsidRDefault="009E5F8A" w:rsidP="00902867">
            <w:pPr>
              <w:rPr>
                <w:lang w:val="fr-FR"/>
              </w:rPr>
            </w:pPr>
            <w:r w:rsidRPr="009E5F8A">
              <w:rPr>
                <w:rFonts w:ascii="Arial" w:eastAsia="Arial" w:hAnsi="Arial"/>
                <w:b/>
                <w:sz w:val="17"/>
                <w:lang w:val="fr-FR"/>
              </w:rPr>
              <w:t>Catégorie</w:t>
            </w:r>
          </w:p>
        </w:tc>
        <w:tc>
          <w:tcPr>
            <w:tcW w:w="4819" w:type="dxa"/>
          </w:tcPr>
          <w:p w14:paraId="1BB60FB2" w14:textId="77777777" w:rsidR="009E5F8A" w:rsidRPr="009E5F8A" w:rsidRDefault="009E5F8A" w:rsidP="00902867">
            <w:pPr>
              <w:rPr>
                <w:lang w:val="fr-FR"/>
              </w:rPr>
            </w:pPr>
            <w:r w:rsidRPr="009E5F8A">
              <w:rPr>
                <w:rFonts w:ascii="Arial" w:eastAsia="Arial" w:hAnsi="Arial"/>
                <w:b/>
                <w:sz w:val="17"/>
                <w:lang w:val="fr-FR"/>
              </w:rPr>
              <w:t>Situation factuelle 2026</w:t>
            </w:r>
          </w:p>
        </w:tc>
      </w:tr>
      <w:tr w:rsidR="009E5F8A" w:rsidRPr="009E5F8A" w14:paraId="37EF81CB" w14:textId="77777777" w:rsidTr="00902867">
        <w:trPr>
          <w:jc w:val="center"/>
        </w:trPr>
        <w:tc>
          <w:tcPr>
            <w:tcW w:w="4819" w:type="dxa"/>
          </w:tcPr>
          <w:p w14:paraId="2D00D99D" w14:textId="77777777" w:rsidR="009E5F8A" w:rsidRPr="009E5F8A" w:rsidRDefault="009E5F8A" w:rsidP="00902867">
            <w:pPr>
              <w:rPr>
                <w:lang w:val="fr-FR"/>
              </w:rPr>
            </w:pPr>
            <w:r w:rsidRPr="009E5F8A">
              <w:rPr>
                <w:rFonts w:ascii="Arial" w:eastAsia="Arial" w:hAnsi="Arial"/>
                <w:sz w:val="17"/>
                <w:lang w:val="fr-FR"/>
              </w:rPr>
              <w:t>1. Impôts locaux (Pajak Daerah)</w:t>
            </w:r>
          </w:p>
        </w:tc>
        <w:tc>
          <w:tcPr>
            <w:tcW w:w="4819" w:type="dxa"/>
          </w:tcPr>
          <w:p w14:paraId="14A924A5" w14:textId="77777777" w:rsidR="009E5F8A" w:rsidRPr="009E5F8A" w:rsidRDefault="009E5F8A" w:rsidP="00902867">
            <w:pPr>
              <w:rPr>
                <w:lang w:val="fr-FR"/>
              </w:rPr>
            </w:pPr>
            <w:r w:rsidRPr="009E5F8A">
              <w:rPr>
                <w:rFonts w:ascii="Arial" w:eastAsia="Arial" w:hAnsi="Arial"/>
                <w:sz w:val="17"/>
                <w:lang w:val="fr-FR"/>
              </w:rPr>
              <w:t>Quasi nuls → 1,00 € symbolique</w:t>
            </w:r>
          </w:p>
        </w:tc>
      </w:tr>
      <w:tr w:rsidR="009E5F8A" w:rsidRPr="009E5F8A" w14:paraId="4AA4EBB4" w14:textId="77777777" w:rsidTr="00902867">
        <w:trPr>
          <w:jc w:val="center"/>
        </w:trPr>
        <w:tc>
          <w:tcPr>
            <w:tcW w:w="4819" w:type="dxa"/>
          </w:tcPr>
          <w:p w14:paraId="7A5316E5" w14:textId="77777777" w:rsidR="009E5F8A" w:rsidRPr="009E5F8A" w:rsidRDefault="009E5F8A" w:rsidP="00902867">
            <w:pPr>
              <w:rPr>
                <w:lang w:val="fr-FR"/>
              </w:rPr>
            </w:pPr>
            <w:r w:rsidRPr="009E5F8A">
              <w:rPr>
                <w:rFonts w:ascii="Arial" w:eastAsia="Arial" w:hAnsi="Arial"/>
                <w:sz w:val="17"/>
                <w:lang w:val="fr-FR"/>
              </w:rPr>
              <w:t>2. Investissements / dépenses de l’État</w:t>
            </w:r>
          </w:p>
        </w:tc>
        <w:tc>
          <w:tcPr>
            <w:tcW w:w="4819" w:type="dxa"/>
          </w:tcPr>
          <w:p w14:paraId="60A23A56" w14:textId="77777777" w:rsidR="009E5F8A" w:rsidRPr="009E5F8A" w:rsidRDefault="009E5F8A" w:rsidP="00902867">
            <w:pPr>
              <w:rPr>
                <w:lang w:val="fr-FR"/>
              </w:rPr>
            </w:pPr>
            <w:r w:rsidRPr="009E5F8A">
              <w:rPr>
                <w:rFonts w:ascii="Arial" w:eastAsia="Arial" w:hAnsi="Arial"/>
                <w:sz w:val="17"/>
                <w:lang w:val="fr-FR"/>
              </w:rPr>
              <w:t>Dominants (Rp 6,26 T en 2026 + engagements multi-annuels)</w:t>
            </w:r>
          </w:p>
        </w:tc>
      </w:tr>
      <w:tr w:rsidR="009E5F8A" w:rsidRPr="009E5F8A" w14:paraId="235C5C78" w14:textId="77777777" w:rsidTr="00902867">
        <w:trPr>
          <w:jc w:val="center"/>
        </w:trPr>
        <w:tc>
          <w:tcPr>
            <w:tcW w:w="4819" w:type="dxa"/>
          </w:tcPr>
          <w:p w14:paraId="33F338E6" w14:textId="77777777" w:rsidR="009E5F8A" w:rsidRPr="009E5F8A" w:rsidRDefault="009E5F8A" w:rsidP="00902867">
            <w:pPr>
              <w:rPr>
                <w:lang w:val="fr-FR"/>
              </w:rPr>
            </w:pPr>
            <w:r w:rsidRPr="009E5F8A">
              <w:rPr>
                <w:rFonts w:ascii="Arial" w:eastAsia="Arial" w:hAnsi="Arial"/>
                <w:sz w:val="17"/>
                <w:lang w:val="fr-FR"/>
              </w:rPr>
              <w:t>3. Dépenses privées des habitants</w:t>
            </w:r>
          </w:p>
        </w:tc>
        <w:tc>
          <w:tcPr>
            <w:tcW w:w="4819" w:type="dxa"/>
          </w:tcPr>
          <w:p w14:paraId="14DAA799" w14:textId="77777777" w:rsidR="009E5F8A" w:rsidRPr="009E5F8A" w:rsidRDefault="009E5F8A" w:rsidP="00902867">
            <w:pPr>
              <w:rPr>
                <w:lang w:val="fr-FR"/>
              </w:rPr>
            </w:pPr>
            <w:r w:rsidRPr="009E5F8A">
              <w:rPr>
                <w:rFonts w:ascii="Arial" w:eastAsia="Arial" w:hAnsi="Arial"/>
                <w:sz w:val="17"/>
                <w:lang w:val="fr-FR"/>
              </w:rPr>
              <w:t>Très limitées (population encore faible)</w:t>
            </w:r>
          </w:p>
        </w:tc>
      </w:tr>
      <w:tr w:rsidR="009E5F8A" w:rsidRPr="009E5F8A" w14:paraId="590C0C4C" w14:textId="77777777" w:rsidTr="00902867">
        <w:trPr>
          <w:jc w:val="center"/>
        </w:trPr>
        <w:tc>
          <w:tcPr>
            <w:tcW w:w="4819" w:type="dxa"/>
          </w:tcPr>
          <w:p w14:paraId="295430CD" w14:textId="77777777" w:rsidR="009E5F8A" w:rsidRPr="009E5F8A" w:rsidRDefault="009E5F8A" w:rsidP="00902867">
            <w:pPr>
              <w:rPr>
                <w:lang w:val="fr-FR"/>
              </w:rPr>
            </w:pPr>
            <w:r w:rsidRPr="009E5F8A">
              <w:rPr>
                <w:rFonts w:ascii="Arial" w:eastAsia="Arial" w:hAnsi="Arial"/>
                <w:sz w:val="17"/>
                <w:lang w:val="fr-FR"/>
              </w:rPr>
              <w:t>Caractère dominant</w:t>
            </w:r>
          </w:p>
        </w:tc>
        <w:tc>
          <w:tcPr>
            <w:tcW w:w="4819" w:type="dxa"/>
          </w:tcPr>
          <w:p w14:paraId="1DE0EDB5" w14:textId="77777777" w:rsidR="009E5F8A" w:rsidRPr="009E5F8A" w:rsidRDefault="009E5F8A" w:rsidP="00902867">
            <w:pPr>
              <w:rPr>
                <w:lang w:val="fr-FR"/>
              </w:rPr>
            </w:pPr>
            <w:r w:rsidRPr="009E5F8A">
              <w:rPr>
                <w:rFonts w:ascii="Arial" w:eastAsia="Arial" w:hAnsi="Arial"/>
                <w:sz w:val="17"/>
                <w:lang w:val="fr-FR"/>
              </w:rPr>
              <w:t>Financement public quasi exclusif</w:t>
            </w:r>
          </w:p>
        </w:tc>
      </w:tr>
    </w:tbl>
    <w:p w14:paraId="3E40ADC1" w14:textId="77777777" w:rsidR="009E5F8A" w:rsidRPr="009E5F8A" w:rsidRDefault="009E5F8A" w:rsidP="009E5F8A">
      <w:pPr>
        <w:spacing w:before="40" w:after="120"/>
        <w:jc w:val="center"/>
        <w:rPr>
          <w:lang w:val="fr-FR"/>
        </w:rPr>
      </w:pPr>
      <w:r w:rsidRPr="009E5F8A">
        <w:rPr>
          <w:i/>
          <w:color w:val="3C3C3C"/>
          <w:sz w:val="17"/>
          <w:lang w:val="fr-FR"/>
        </w:rPr>
        <w:t>Fig. 3 – Synthèse des trois masses financières – Nusantara 2026</w:t>
      </w:r>
    </w:p>
    <w:p w14:paraId="52569F67" w14:textId="77777777" w:rsidR="009E5F8A" w:rsidRPr="009E5F8A" w:rsidRDefault="009E5F8A" w:rsidP="009E5F8A">
      <w:pPr>
        <w:pStyle w:val="Heading3"/>
        <w:rPr>
          <w:lang w:val="fr-FR"/>
        </w:rPr>
      </w:pPr>
      <w:bookmarkStart w:id="152" w:name="_Toc236489351"/>
      <w:bookmarkStart w:id="153" w:name="_Toc236489430"/>
      <w:r w:rsidRPr="009E5F8A">
        <w:rPr>
          <w:sz w:val="26"/>
          <w:lang w:val="fr-FR"/>
        </w:rPr>
        <w:t>Annexe A – Bilan carbone (Nusantara 2026)</w:t>
      </w:r>
      <w:bookmarkEnd w:id="152"/>
      <w:bookmarkEnd w:id="153"/>
    </w:p>
    <w:p w14:paraId="602E0789" w14:textId="77777777" w:rsidR="009E5F8A" w:rsidRPr="009E5F8A" w:rsidRDefault="009E5F8A" w:rsidP="009E5F8A">
      <w:pPr>
        <w:spacing w:after="80"/>
        <w:jc w:val="both"/>
        <w:rPr>
          <w:lang w:val="fr-FR"/>
        </w:rPr>
      </w:pPr>
      <w:r w:rsidRPr="009E5F8A">
        <w:rPr>
          <w:sz w:val="19"/>
          <w:lang w:val="fr-FR"/>
        </w:rPr>
        <w:t>À l’échelle actuelle (10 000 – 150 000 personnes), les émissions de gaz à effet de serre de Nusantara restent très faibles par rapport à Jakarta Agglomération (150–220 MtCO₂e).</w:t>
      </w:r>
    </w:p>
    <w:p w14:paraId="60E3F9CB" w14:textId="77777777" w:rsidR="009E5F8A" w:rsidRPr="009E5F8A" w:rsidRDefault="009E5F8A" w:rsidP="009E5F8A">
      <w:pPr>
        <w:spacing w:after="80"/>
        <w:jc w:val="both"/>
        <w:rPr>
          <w:lang w:val="fr-FR"/>
        </w:rPr>
      </w:pPr>
      <w:r w:rsidRPr="009E5F8A">
        <w:rPr>
          <w:sz w:val="19"/>
          <w:lang w:val="fr-FR"/>
        </w:rPr>
        <w:t>Sources principales actuelles :</w:t>
      </w:r>
    </w:p>
    <w:p w14:paraId="24F2D796"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Construction (béton, acier, engins) – émissions temporaires mais significatives localement.</w:t>
      </w:r>
    </w:p>
    <w:p w14:paraId="13454C1E"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Consommation électrique des chantiers et premiers bâtiments (réseau encore carboné).</w:t>
      </w:r>
    </w:p>
    <w:p w14:paraId="6485DE55"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Transport de matériaux et de travailleurs.</w:t>
      </w:r>
    </w:p>
    <w:p w14:paraId="7EAF4EFF" w14:textId="77777777" w:rsidR="009E5F8A" w:rsidRPr="009E5F8A" w:rsidRDefault="009E5F8A" w:rsidP="009E5F8A">
      <w:pPr>
        <w:spacing w:after="80"/>
        <w:jc w:val="both"/>
        <w:rPr>
          <w:lang w:val="fr-FR"/>
        </w:rPr>
      </w:pPr>
      <w:r w:rsidRPr="009E5F8A">
        <w:rPr>
          <w:sz w:val="19"/>
          <w:lang w:val="fr-FR"/>
        </w:rPr>
        <w:t>Ordre de grandeur : les émissions annuelles actuelles sont de l’ordre de quelques centaines de ktCO₂e à quelques MtCO₂e au maximum, soit plusieurs centaines de fois inférieures à celles de l’agglomération de Jakarta. Ce chiffre augmentera avec le peuplement et l’activité.</w:t>
      </w:r>
    </w:p>
    <w:p w14:paraId="267690F6" w14:textId="77777777" w:rsidR="009E5F8A" w:rsidRPr="009E5F8A" w:rsidRDefault="009E5F8A" w:rsidP="009E5F8A">
      <w:pPr>
        <w:pStyle w:val="Heading3"/>
        <w:rPr>
          <w:lang w:val="fr-FR"/>
        </w:rPr>
      </w:pPr>
      <w:bookmarkStart w:id="154" w:name="_Toc236489352"/>
      <w:bookmarkStart w:id="155" w:name="_Toc236489431"/>
      <w:r w:rsidRPr="009E5F8A">
        <w:rPr>
          <w:sz w:val="26"/>
          <w:lang w:val="fr-FR"/>
        </w:rPr>
        <w:t>Annexe B – Fabrication de froid / Climatisation (Nusantara 2026)</w:t>
      </w:r>
      <w:bookmarkEnd w:id="154"/>
      <w:bookmarkEnd w:id="155"/>
    </w:p>
    <w:p w14:paraId="2DA3FEAA" w14:textId="77777777" w:rsidR="009E5F8A" w:rsidRPr="009E5F8A" w:rsidRDefault="009E5F8A" w:rsidP="009E5F8A">
      <w:pPr>
        <w:spacing w:after="80"/>
        <w:jc w:val="both"/>
        <w:rPr>
          <w:lang w:val="fr-FR"/>
        </w:rPr>
      </w:pPr>
      <w:r w:rsidRPr="009E5F8A">
        <w:rPr>
          <w:sz w:val="19"/>
          <w:lang w:val="fr-FR"/>
        </w:rPr>
        <w:t>La demande de froid est encore très limitée :</w:t>
      </w:r>
    </w:p>
    <w:p w14:paraId="076D9CAC"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Climatisation des premiers bâtiments gouvernementaux et logements de fonctionnaires.</w:t>
      </w:r>
    </w:p>
    <w:p w14:paraId="13202EF4"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Besoins des chantiers (confort des workers, conservation).</w:t>
      </w:r>
    </w:p>
    <w:p w14:paraId="54B61085"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Quasi absence de tissu résidentiel dense ou de tertiaire commercial.</w:t>
      </w:r>
    </w:p>
    <w:p w14:paraId="67A49BE6" w14:textId="77777777" w:rsidR="009E5F8A" w:rsidRPr="009E5F8A" w:rsidRDefault="009E5F8A" w:rsidP="009E5F8A">
      <w:pPr>
        <w:spacing w:after="80"/>
        <w:jc w:val="both"/>
        <w:rPr>
          <w:lang w:val="fr-FR"/>
        </w:rPr>
      </w:pPr>
      <w:r w:rsidRPr="009E5F8A">
        <w:rPr>
          <w:sz w:val="19"/>
          <w:lang w:val="fr-FR"/>
        </w:rPr>
        <w:t>Les systèmes installés sont pour l’essentiel des climatiseurs individuels ou semi-centralisés classiques (compression électrique). L’effet « point chaud » urbain n’est pas encore significatif faute de densité. L’opportunité existe encore de concevoir dès maintenant des solutions de District Cooling plus efficaces pour les phases suivantes.</w:t>
      </w:r>
    </w:p>
    <w:p w14:paraId="30FDC1BD" w14:textId="77777777" w:rsidR="009E5F8A" w:rsidRPr="009E5F8A" w:rsidRDefault="009E5F8A" w:rsidP="009E5F8A">
      <w:pPr>
        <w:pStyle w:val="Heading4"/>
        <w:rPr>
          <w:lang w:val="fr-FR"/>
        </w:rPr>
      </w:pPr>
      <w:r w:rsidRPr="009E5F8A">
        <w:rPr>
          <w:b/>
          <w:color w:val="0A2540"/>
          <w:sz w:val="26"/>
          <w:lang w:val="fr-FR"/>
        </w:rPr>
        <w:t>Hypothèses principales</w:t>
      </w:r>
    </w:p>
    <w:p w14:paraId="11FE3AD1"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Population cœur ≈ 10 000 ; zone élargie ≈ 150 000 (sources 2025-2026).</w:t>
      </w:r>
    </w:p>
    <w:p w14:paraId="61231E85"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Budget IKN 2026 ≈ Rp 6,26 billions.</w:t>
      </w:r>
    </w:p>
    <w:p w14:paraId="1B56AFCE"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Base fiscale locale encore négligeable.</w:t>
      </w:r>
    </w:p>
    <w:p w14:paraId="67A3435B"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Taux de change indicatif ≈ 20 600 IDR/EUR.</w:t>
      </w:r>
    </w:p>
    <w:p w14:paraId="7D5BEBDF"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Les chiffres sont des ordres de grandeur OSINT destinés à la comparaison relative avec Jakarta.</w:t>
      </w:r>
    </w:p>
    <w:p w14:paraId="4A74C6D8" w14:textId="77777777" w:rsidR="009E5F8A" w:rsidRPr="009E5F8A" w:rsidRDefault="009E5F8A" w:rsidP="009E5F8A">
      <w:pPr>
        <w:pStyle w:val="Heading4"/>
        <w:rPr>
          <w:lang w:val="fr-FR"/>
        </w:rPr>
      </w:pPr>
      <w:r w:rsidRPr="009E5F8A">
        <w:rPr>
          <w:b/>
          <w:color w:val="0A2540"/>
          <w:sz w:val="26"/>
          <w:lang w:val="fr-FR"/>
        </w:rPr>
        <w:t>Références URL principales</w:t>
      </w:r>
    </w:p>
    <w:p w14:paraId="7CFD1778"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NPR – Indonesia’s capital of the future faces doubts (avr. 2026) : population cœur ≈ 10 000</w:t>
      </w:r>
    </w:p>
    <w:p w14:paraId="147A4FFB"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Wikipedia Nusantara – Population 2025 ≈ 147 000 (zone élargie)</w:t>
      </w:r>
    </w:p>
    <w:p w14:paraId="335B0D8D"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Indonesia Business Post / Tempo – Budget IKN 2026 ≈ Rp 6,26 T</w:t>
      </w:r>
    </w:p>
    <w:p w14:paraId="4723AAFF" w14:textId="77777777" w:rsidR="009E5F8A" w:rsidRPr="009E5F8A" w:rsidRDefault="009E5F8A" w:rsidP="009E5F8A">
      <w:pPr>
        <w:pStyle w:val="ListBullet"/>
        <w:tabs>
          <w:tab w:val="num" w:pos="360"/>
        </w:tabs>
        <w:ind w:left="360" w:hanging="360"/>
        <w:rPr>
          <w:lang w:val="fr-FR"/>
        </w:rPr>
      </w:pPr>
      <w:r w:rsidRPr="009E5F8A">
        <w:rPr>
          <w:rFonts w:eastAsia="Arial"/>
          <w:sz w:val="19"/>
          <w:lang w:val="fr-FR"/>
        </w:rPr>
        <w:t>Déclarations officielles Phase 2 ≈ Rp 48,8 T sur plusieurs années</w:t>
      </w:r>
    </w:p>
    <w:p w14:paraId="3E63CB22" w14:textId="77777777" w:rsidR="009E5F8A" w:rsidRPr="009E5F8A" w:rsidRDefault="009E5F8A" w:rsidP="009E5F8A">
      <w:pPr>
        <w:spacing w:after="80"/>
        <w:jc w:val="both"/>
        <w:rPr>
          <w:lang w:val="fr-FR"/>
        </w:rPr>
      </w:pPr>
      <w:r w:rsidRPr="009E5F8A">
        <w:rPr>
          <w:sz w:val="19"/>
          <w:lang w:val="fr-FR"/>
        </w:rPr>
        <w:t>Ce document constitue la première itération factuelle. Des itérations supplémentaires seront nécessaires à mesure que de nouvelles données officielles (recettes locales, peuplement réel, bilans énergétiques) seront publiées.</w:t>
      </w:r>
    </w:p>
    <w:p w14:paraId="1574B0AB" w14:textId="77777777" w:rsidR="009E5F8A" w:rsidRPr="009E5F8A" w:rsidRDefault="009E5F8A" w:rsidP="009E5F8A">
      <w:pPr>
        <w:jc w:val="center"/>
        <w:rPr>
          <w:lang w:val="fr-FR"/>
        </w:rPr>
      </w:pPr>
      <w:r w:rsidRPr="009E5F8A">
        <w:rPr>
          <w:i/>
          <w:color w:val="546E7A"/>
          <w:sz w:val="18"/>
          <w:lang w:val="fr-FR"/>
        </w:rPr>
        <w:t>— Fin de la première itération – Nusantara Transparence économique 2026 —</w:t>
      </w:r>
    </w:p>
    <w:p w14:paraId="5C7CA0C4" w14:textId="77777777" w:rsidR="009E5F8A" w:rsidRPr="009E5F8A" w:rsidRDefault="009E5F8A" w:rsidP="007D7CC9">
      <w:pPr>
        <w:rPr>
          <w:lang w:val="fr-FR"/>
        </w:rPr>
        <w:sectPr w:rsidR="009E5F8A" w:rsidRPr="009E5F8A" w:rsidSect="00CA106F">
          <w:headerReference w:type="default" r:id="rId24"/>
          <w:pgSz w:w="11906" w:h="16838"/>
          <w:pgMar w:top="1020" w:right="1134" w:bottom="1020" w:left="1134" w:header="720" w:footer="720" w:gutter="0"/>
          <w:cols w:space="720"/>
          <w:docGrid w:linePitch="360"/>
        </w:sectPr>
      </w:pPr>
    </w:p>
    <w:p w14:paraId="599CBC84" w14:textId="77777777" w:rsidR="007D7CC9" w:rsidRPr="009E5F8A" w:rsidRDefault="007D7CC9" w:rsidP="007D7CC9">
      <w:pPr>
        <w:rPr>
          <w:lang w:val="fr-FR"/>
        </w:rPr>
      </w:pPr>
    </w:p>
    <w:p w14:paraId="1831733E" w14:textId="35FD8324" w:rsidR="00CA106F" w:rsidRPr="009E5F8A" w:rsidRDefault="00CA106F" w:rsidP="007D7CC9">
      <w:pPr>
        <w:pStyle w:val="Heading1"/>
        <w:rPr>
          <w:lang w:val="fr-FR"/>
        </w:rPr>
      </w:pPr>
      <w:bookmarkStart w:id="156" w:name="_Toc236489353"/>
      <w:bookmarkStart w:id="157" w:name="_Toc236489432"/>
      <w:r w:rsidRPr="009E5F8A">
        <w:rPr>
          <w:lang w:val="fr-FR"/>
        </w:rPr>
        <w:t>Index</w:t>
      </w:r>
      <w:bookmarkEnd w:id="156"/>
      <w:bookmarkEnd w:id="157"/>
    </w:p>
    <w:p w14:paraId="76C2E221" w14:textId="6932F872" w:rsidR="009E5F8A" w:rsidRDefault="00CA106F">
      <w:pPr>
        <w:pStyle w:val="TOC1"/>
        <w:tabs>
          <w:tab w:val="right" w:leader="dot" w:pos="9628"/>
        </w:tabs>
        <w:rPr>
          <w:rFonts w:asciiTheme="minorHAnsi" w:eastAsiaTheme="minorEastAsia" w:hAnsiTheme="minorHAnsi" w:cstheme="minorBidi"/>
          <w:noProof/>
          <w:kern w:val="2"/>
          <w:sz w:val="24"/>
          <w:szCs w:val="24"/>
          <w14:ligatures w14:val="standardContextual"/>
        </w:rPr>
      </w:pPr>
      <w:r w:rsidRPr="009E5F8A">
        <w:rPr>
          <w:lang w:val="fr-FR"/>
        </w:rPr>
        <w:fldChar w:fldCharType="begin"/>
      </w:r>
      <w:r w:rsidRPr="009E5F8A">
        <w:rPr>
          <w:lang w:val="fr-FR"/>
        </w:rPr>
        <w:instrText xml:space="preserve"> TOC \o "1-3" \h \z \u </w:instrText>
      </w:r>
      <w:r w:rsidRPr="009E5F8A">
        <w:rPr>
          <w:lang w:val="fr-FR"/>
        </w:rPr>
        <w:fldChar w:fldCharType="separate"/>
      </w:r>
      <w:hyperlink w:anchor="_Toc236489354" w:history="1">
        <w:r w:rsidR="009E5F8A" w:rsidRPr="009215B6">
          <w:rPr>
            <w:rStyle w:val="Hyperlink"/>
            <w:noProof/>
            <w:lang w:val="fr-FR"/>
          </w:rPr>
          <w:t>RAPPORT TECHNIQUE de Base Rev 0.0 - 30 juillet 2026</w:t>
        </w:r>
        <w:r w:rsidR="009E5F8A">
          <w:rPr>
            <w:noProof/>
            <w:webHidden/>
          </w:rPr>
          <w:tab/>
        </w:r>
        <w:r w:rsidR="009E5F8A">
          <w:rPr>
            <w:noProof/>
            <w:webHidden/>
          </w:rPr>
          <w:fldChar w:fldCharType="begin"/>
        </w:r>
        <w:r w:rsidR="009E5F8A">
          <w:rPr>
            <w:noProof/>
            <w:webHidden/>
          </w:rPr>
          <w:instrText xml:space="preserve"> PAGEREF _Toc236489354 \h </w:instrText>
        </w:r>
        <w:r w:rsidR="009E5F8A">
          <w:rPr>
            <w:noProof/>
            <w:webHidden/>
          </w:rPr>
        </w:r>
        <w:r w:rsidR="009E5F8A">
          <w:rPr>
            <w:noProof/>
            <w:webHidden/>
          </w:rPr>
          <w:fldChar w:fldCharType="separate"/>
        </w:r>
        <w:r w:rsidR="009E5F8A">
          <w:rPr>
            <w:noProof/>
            <w:webHidden/>
          </w:rPr>
          <w:t>1</w:t>
        </w:r>
        <w:r w:rsidR="009E5F8A">
          <w:rPr>
            <w:noProof/>
            <w:webHidden/>
          </w:rPr>
          <w:fldChar w:fldCharType="end"/>
        </w:r>
      </w:hyperlink>
    </w:p>
    <w:p w14:paraId="2D69F2A4" w14:textId="2BDA344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55" w:history="1">
        <w:r w:rsidRPr="009215B6">
          <w:rPr>
            <w:rStyle w:val="Hyperlink"/>
            <w:noProof/>
            <w:lang w:val="fr-FR"/>
          </w:rPr>
          <w:t>1. Introduction</w:t>
        </w:r>
        <w:r>
          <w:rPr>
            <w:noProof/>
            <w:webHidden/>
          </w:rPr>
          <w:tab/>
        </w:r>
        <w:r>
          <w:rPr>
            <w:noProof/>
            <w:webHidden/>
          </w:rPr>
          <w:fldChar w:fldCharType="begin"/>
        </w:r>
        <w:r>
          <w:rPr>
            <w:noProof/>
            <w:webHidden/>
          </w:rPr>
          <w:instrText xml:space="preserve"> PAGEREF _Toc236489355 \h </w:instrText>
        </w:r>
        <w:r>
          <w:rPr>
            <w:noProof/>
            <w:webHidden/>
          </w:rPr>
        </w:r>
        <w:r>
          <w:rPr>
            <w:noProof/>
            <w:webHidden/>
          </w:rPr>
          <w:fldChar w:fldCharType="separate"/>
        </w:r>
        <w:r>
          <w:rPr>
            <w:noProof/>
            <w:webHidden/>
          </w:rPr>
          <w:t>2</w:t>
        </w:r>
        <w:r>
          <w:rPr>
            <w:noProof/>
            <w:webHidden/>
          </w:rPr>
          <w:fldChar w:fldCharType="end"/>
        </w:r>
      </w:hyperlink>
    </w:p>
    <w:p w14:paraId="548E5192" w14:textId="2D49437C"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56" w:history="1">
        <w:r w:rsidRPr="009215B6">
          <w:rPr>
            <w:rStyle w:val="Hyperlink"/>
            <w:noProof/>
            <w:lang w:val="fr-FR"/>
          </w:rPr>
          <w:t>2. Les défis techniques majeurs de Jakarta</w:t>
        </w:r>
        <w:r>
          <w:rPr>
            <w:noProof/>
            <w:webHidden/>
          </w:rPr>
          <w:tab/>
        </w:r>
        <w:r>
          <w:rPr>
            <w:noProof/>
            <w:webHidden/>
          </w:rPr>
          <w:fldChar w:fldCharType="begin"/>
        </w:r>
        <w:r>
          <w:rPr>
            <w:noProof/>
            <w:webHidden/>
          </w:rPr>
          <w:instrText xml:space="preserve"> PAGEREF _Toc236489356 \h </w:instrText>
        </w:r>
        <w:r>
          <w:rPr>
            <w:noProof/>
            <w:webHidden/>
          </w:rPr>
        </w:r>
        <w:r>
          <w:rPr>
            <w:noProof/>
            <w:webHidden/>
          </w:rPr>
          <w:fldChar w:fldCharType="separate"/>
        </w:r>
        <w:r>
          <w:rPr>
            <w:noProof/>
            <w:webHidden/>
          </w:rPr>
          <w:t>2</w:t>
        </w:r>
        <w:r>
          <w:rPr>
            <w:noProof/>
            <w:webHidden/>
          </w:rPr>
          <w:fldChar w:fldCharType="end"/>
        </w:r>
      </w:hyperlink>
    </w:p>
    <w:p w14:paraId="72DC3FA1" w14:textId="3FDF3EA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7" w:history="1">
        <w:r w:rsidRPr="009215B6">
          <w:rPr>
            <w:rStyle w:val="Hyperlink"/>
            <w:noProof/>
            <w:lang w:val="fr-FR"/>
          </w:rPr>
          <w:t>2.1 Affaissement du sol (land subsidence) et inondations</w:t>
        </w:r>
        <w:r>
          <w:rPr>
            <w:noProof/>
            <w:webHidden/>
          </w:rPr>
          <w:tab/>
        </w:r>
        <w:r>
          <w:rPr>
            <w:noProof/>
            <w:webHidden/>
          </w:rPr>
          <w:fldChar w:fldCharType="begin"/>
        </w:r>
        <w:r>
          <w:rPr>
            <w:noProof/>
            <w:webHidden/>
          </w:rPr>
          <w:instrText xml:space="preserve"> PAGEREF _Toc236489357 \h </w:instrText>
        </w:r>
        <w:r>
          <w:rPr>
            <w:noProof/>
            <w:webHidden/>
          </w:rPr>
        </w:r>
        <w:r>
          <w:rPr>
            <w:noProof/>
            <w:webHidden/>
          </w:rPr>
          <w:fldChar w:fldCharType="separate"/>
        </w:r>
        <w:r>
          <w:rPr>
            <w:noProof/>
            <w:webHidden/>
          </w:rPr>
          <w:t>2</w:t>
        </w:r>
        <w:r>
          <w:rPr>
            <w:noProof/>
            <w:webHidden/>
          </w:rPr>
          <w:fldChar w:fldCharType="end"/>
        </w:r>
      </w:hyperlink>
    </w:p>
    <w:p w14:paraId="0681EB6B" w14:textId="70086C2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8" w:history="1">
        <w:r w:rsidRPr="009215B6">
          <w:rPr>
            <w:rStyle w:val="Hyperlink"/>
            <w:noProof/>
            <w:lang w:val="fr-FR"/>
          </w:rPr>
          <w:t>2.2 Congestion, pollution de l’air et infrastructure vieillissante</w:t>
        </w:r>
        <w:r>
          <w:rPr>
            <w:noProof/>
            <w:webHidden/>
          </w:rPr>
          <w:tab/>
        </w:r>
        <w:r>
          <w:rPr>
            <w:noProof/>
            <w:webHidden/>
          </w:rPr>
          <w:fldChar w:fldCharType="begin"/>
        </w:r>
        <w:r>
          <w:rPr>
            <w:noProof/>
            <w:webHidden/>
          </w:rPr>
          <w:instrText xml:space="preserve"> PAGEREF _Toc236489358 \h </w:instrText>
        </w:r>
        <w:r>
          <w:rPr>
            <w:noProof/>
            <w:webHidden/>
          </w:rPr>
        </w:r>
        <w:r>
          <w:rPr>
            <w:noProof/>
            <w:webHidden/>
          </w:rPr>
          <w:fldChar w:fldCharType="separate"/>
        </w:r>
        <w:r>
          <w:rPr>
            <w:noProof/>
            <w:webHidden/>
          </w:rPr>
          <w:t>2</w:t>
        </w:r>
        <w:r>
          <w:rPr>
            <w:noProof/>
            <w:webHidden/>
          </w:rPr>
          <w:fldChar w:fldCharType="end"/>
        </w:r>
      </w:hyperlink>
    </w:p>
    <w:p w14:paraId="413118F3" w14:textId="59124B4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59" w:history="1">
        <w:r w:rsidRPr="009215B6">
          <w:rPr>
            <w:rStyle w:val="Hyperlink"/>
            <w:noProof/>
            <w:lang w:val="fr-FR"/>
          </w:rPr>
          <w:t>2.3 Îlot de chaleur urbain (UHI) et climatisation</w:t>
        </w:r>
        <w:r>
          <w:rPr>
            <w:noProof/>
            <w:webHidden/>
          </w:rPr>
          <w:tab/>
        </w:r>
        <w:r>
          <w:rPr>
            <w:noProof/>
            <w:webHidden/>
          </w:rPr>
          <w:fldChar w:fldCharType="begin"/>
        </w:r>
        <w:r>
          <w:rPr>
            <w:noProof/>
            <w:webHidden/>
          </w:rPr>
          <w:instrText xml:space="preserve"> PAGEREF _Toc236489359 \h </w:instrText>
        </w:r>
        <w:r>
          <w:rPr>
            <w:noProof/>
            <w:webHidden/>
          </w:rPr>
        </w:r>
        <w:r>
          <w:rPr>
            <w:noProof/>
            <w:webHidden/>
          </w:rPr>
          <w:fldChar w:fldCharType="separate"/>
        </w:r>
        <w:r>
          <w:rPr>
            <w:noProof/>
            <w:webHidden/>
          </w:rPr>
          <w:t>2</w:t>
        </w:r>
        <w:r>
          <w:rPr>
            <w:noProof/>
            <w:webHidden/>
          </w:rPr>
          <w:fldChar w:fldCharType="end"/>
        </w:r>
      </w:hyperlink>
    </w:p>
    <w:p w14:paraId="1396FB25" w14:textId="3AF8EFEA"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0" w:history="1">
        <w:r w:rsidRPr="009215B6">
          <w:rPr>
            <w:rStyle w:val="Hyperlink"/>
            <w:noProof/>
            <w:lang w:val="fr-FR"/>
          </w:rPr>
          <w:t>2.4 Dépendance énergétique et stress hydrique</w:t>
        </w:r>
        <w:r>
          <w:rPr>
            <w:noProof/>
            <w:webHidden/>
          </w:rPr>
          <w:tab/>
        </w:r>
        <w:r>
          <w:rPr>
            <w:noProof/>
            <w:webHidden/>
          </w:rPr>
          <w:fldChar w:fldCharType="begin"/>
        </w:r>
        <w:r>
          <w:rPr>
            <w:noProof/>
            <w:webHidden/>
          </w:rPr>
          <w:instrText xml:space="preserve"> PAGEREF _Toc236489360 \h </w:instrText>
        </w:r>
        <w:r>
          <w:rPr>
            <w:noProof/>
            <w:webHidden/>
          </w:rPr>
        </w:r>
        <w:r>
          <w:rPr>
            <w:noProof/>
            <w:webHidden/>
          </w:rPr>
          <w:fldChar w:fldCharType="separate"/>
        </w:r>
        <w:r>
          <w:rPr>
            <w:noProof/>
            <w:webHidden/>
          </w:rPr>
          <w:t>2</w:t>
        </w:r>
        <w:r>
          <w:rPr>
            <w:noProof/>
            <w:webHidden/>
          </w:rPr>
          <w:fldChar w:fldCharType="end"/>
        </w:r>
      </w:hyperlink>
    </w:p>
    <w:p w14:paraId="222D7E41" w14:textId="7D52355B"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1" w:history="1">
        <w:r w:rsidRPr="009215B6">
          <w:rPr>
            <w:rStyle w:val="Hyperlink"/>
            <w:noProof/>
            <w:lang w:val="fr-FR"/>
          </w:rPr>
          <w:t>2.5 Autres risques techniques</w:t>
        </w:r>
        <w:r>
          <w:rPr>
            <w:noProof/>
            <w:webHidden/>
          </w:rPr>
          <w:tab/>
        </w:r>
        <w:r>
          <w:rPr>
            <w:noProof/>
            <w:webHidden/>
          </w:rPr>
          <w:fldChar w:fldCharType="begin"/>
        </w:r>
        <w:r>
          <w:rPr>
            <w:noProof/>
            <w:webHidden/>
          </w:rPr>
          <w:instrText xml:space="preserve"> PAGEREF _Toc236489361 \h </w:instrText>
        </w:r>
        <w:r>
          <w:rPr>
            <w:noProof/>
            <w:webHidden/>
          </w:rPr>
        </w:r>
        <w:r>
          <w:rPr>
            <w:noProof/>
            <w:webHidden/>
          </w:rPr>
          <w:fldChar w:fldCharType="separate"/>
        </w:r>
        <w:r>
          <w:rPr>
            <w:noProof/>
            <w:webHidden/>
          </w:rPr>
          <w:t>2</w:t>
        </w:r>
        <w:r>
          <w:rPr>
            <w:noProof/>
            <w:webHidden/>
          </w:rPr>
          <w:fldChar w:fldCharType="end"/>
        </w:r>
      </w:hyperlink>
    </w:p>
    <w:p w14:paraId="465145DA" w14:textId="0A776685"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62" w:history="1">
        <w:r w:rsidRPr="009215B6">
          <w:rPr>
            <w:rStyle w:val="Hyperlink"/>
            <w:noProof/>
            <w:lang w:val="fr-FR"/>
          </w:rPr>
          <w:t>3. Les pièges de Singapour à éviter</w:t>
        </w:r>
        <w:r>
          <w:rPr>
            <w:noProof/>
            <w:webHidden/>
          </w:rPr>
          <w:tab/>
        </w:r>
        <w:r>
          <w:rPr>
            <w:noProof/>
            <w:webHidden/>
          </w:rPr>
          <w:fldChar w:fldCharType="begin"/>
        </w:r>
        <w:r>
          <w:rPr>
            <w:noProof/>
            <w:webHidden/>
          </w:rPr>
          <w:instrText xml:space="preserve"> PAGEREF _Toc236489362 \h </w:instrText>
        </w:r>
        <w:r>
          <w:rPr>
            <w:noProof/>
            <w:webHidden/>
          </w:rPr>
        </w:r>
        <w:r>
          <w:rPr>
            <w:noProof/>
            <w:webHidden/>
          </w:rPr>
          <w:fldChar w:fldCharType="separate"/>
        </w:r>
        <w:r>
          <w:rPr>
            <w:noProof/>
            <w:webHidden/>
          </w:rPr>
          <w:t>3</w:t>
        </w:r>
        <w:r>
          <w:rPr>
            <w:noProof/>
            <w:webHidden/>
          </w:rPr>
          <w:fldChar w:fldCharType="end"/>
        </w:r>
      </w:hyperlink>
    </w:p>
    <w:p w14:paraId="36F1858D" w14:textId="473DA1CE"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3" w:history="1">
        <w:r w:rsidRPr="009215B6">
          <w:rPr>
            <w:rStyle w:val="Hyperlink"/>
            <w:noProof/>
            <w:lang w:val="fr-FR"/>
          </w:rPr>
          <w:t>3.1 Dépendance énergétique quasi-totale</w:t>
        </w:r>
        <w:r>
          <w:rPr>
            <w:noProof/>
            <w:webHidden/>
          </w:rPr>
          <w:tab/>
        </w:r>
        <w:r>
          <w:rPr>
            <w:noProof/>
            <w:webHidden/>
          </w:rPr>
          <w:fldChar w:fldCharType="begin"/>
        </w:r>
        <w:r>
          <w:rPr>
            <w:noProof/>
            <w:webHidden/>
          </w:rPr>
          <w:instrText xml:space="preserve"> PAGEREF _Toc236489363 \h </w:instrText>
        </w:r>
        <w:r>
          <w:rPr>
            <w:noProof/>
            <w:webHidden/>
          </w:rPr>
        </w:r>
        <w:r>
          <w:rPr>
            <w:noProof/>
            <w:webHidden/>
          </w:rPr>
          <w:fldChar w:fldCharType="separate"/>
        </w:r>
        <w:r>
          <w:rPr>
            <w:noProof/>
            <w:webHidden/>
          </w:rPr>
          <w:t>3</w:t>
        </w:r>
        <w:r>
          <w:rPr>
            <w:noProof/>
            <w:webHidden/>
          </w:rPr>
          <w:fldChar w:fldCharType="end"/>
        </w:r>
      </w:hyperlink>
    </w:p>
    <w:p w14:paraId="6A9D4564" w14:textId="04BBA97B"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4" w:history="1">
        <w:r w:rsidRPr="009215B6">
          <w:rPr>
            <w:rStyle w:val="Hyperlink"/>
            <w:noProof/>
            <w:lang w:val="fr-FR"/>
          </w:rPr>
          <w:t>3.2 Amplification de l’îlot de chaleur par les climatiseurs</w:t>
        </w:r>
        <w:r>
          <w:rPr>
            <w:noProof/>
            <w:webHidden/>
          </w:rPr>
          <w:tab/>
        </w:r>
        <w:r>
          <w:rPr>
            <w:noProof/>
            <w:webHidden/>
          </w:rPr>
          <w:fldChar w:fldCharType="begin"/>
        </w:r>
        <w:r>
          <w:rPr>
            <w:noProof/>
            <w:webHidden/>
          </w:rPr>
          <w:instrText xml:space="preserve"> PAGEREF _Toc236489364 \h </w:instrText>
        </w:r>
        <w:r>
          <w:rPr>
            <w:noProof/>
            <w:webHidden/>
          </w:rPr>
        </w:r>
        <w:r>
          <w:rPr>
            <w:noProof/>
            <w:webHidden/>
          </w:rPr>
          <w:fldChar w:fldCharType="separate"/>
        </w:r>
        <w:r>
          <w:rPr>
            <w:noProof/>
            <w:webHidden/>
          </w:rPr>
          <w:t>3</w:t>
        </w:r>
        <w:r>
          <w:rPr>
            <w:noProof/>
            <w:webHidden/>
          </w:rPr>
          <w:fldChar w:fldCharType="end"/>
        </w:r>
      </w:hyperlink>
    </w:p>
    <w:p w14:paraId="2E7BFEFF" w14:textId="7009505D"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65" w:history="1">
        <w:r w:rsidRPr="009215B6">
          <w:rPr>
            <w:rStyle w:val="Hyperlink"/>
            <w:noProof/>
            <w:lang w:val="fr-FR"/>
          </w:rPr>
          <w:t>4. Nusantara (IKN) : vision, statut et principes de design</w:t>
        </w:r>
        <w:r>
          <w:rPr>
            <w:noProof/>
            <w:webHidden/>
          </w:rPr>
          <w:tab/>
        </w:r>
        <w:r>
          <w:rPr>
            <w:noProof/>
            <w:webHidden/>
          </w:rPr>
          <w:fldChar w:fldCharType="begin"/>
        </w:r>
        <w:r>
          <w:rPr>
            <w:noProof/>
            <w:webHidden/>
          </w:rPr>
          <w:instrText xml:space="preserve"> PAGEREF _Toc236489365 \h </w:instrText>
        </w:r>
        <w:r>
          <w:rPr>
            <w:noProof/>
            <w:webHidden/>
          </w:rPr>
        </w:r>
        <w:r>
          <w:rPr>
            <w:noProof/>
            <w:webHidden/>
          </w:rPr>
          <w:fldChar w:fldCharType="separate"/>
        </w:r>
        <w:r>
          <w:rPr>
            <w:noProof/>
            <w:webHidden/>
          </w:rPr>
          <w:t>3</w:t>
        </w:r>
        <w:r>
          <w:rPr>
            <w:noProof/>
            <w:webHidden/>
          </w:rPr>
          <w:fldChar w:fldCharType="end"/>
        </w:r>
      </w:hyperlink>
    </w:p>
    <w:p w14:paraId="65F2452A" w14:textId="791D925E"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6" w:history="1">
        <w:r w:rsidRPr="009215B6">
          <w:rPr>
            <w:rStyle w:val="Hyperlink"/>
            <w:noProof/>
            <w:lang w:val="fr-FR"/>
          </w:rPr>
          <w:t>4.1 Localisation et statut en juillet 2026</w:t>
        </w:r>
        <w:r>
          <w:rPr>
            <w:noProof/>
            <w:webHidden/>
          </w:rPr>
          <w:tab/>
        </w:r>
        <w:r>
          <w:rPr>
            <w:noProof/>
            <w:webHidden/>
          </w:rPr>
          <w:fldChar w:fldCharType="begin"/>
        </w:r>
        <w:r>
          <w:rPr>
            <w:noProof/>
            <w:webHidden/>
          </w:rPr>
          <w:instrText xml:space="preserve"> PAGEREF _Toc236489366 \h </w:instrText>
        </w:r>
        <w:r>
          <w:rPr>
            <w:noProof/>
            <w:webHidden/>
          </w:rPr>
        </w:r>
        <w:r>
          <w:rPr>
            <w:noProof/>
            <w:webHidden/>
          </w:rPr>
          <w:fldChar w:fldCharType="separate"/>
        </w:r>
        <w:r>
          <w:rPr>
            <w:noProof/>
            <w:webHidden/>
          </w:rPr>
          <w:t>3</w:t>
        </w:r>
        <w:r>
          <w:rPr>
            <w:noProof/>
            <w:webHidden/>
          </w:rPr>
          <w:fldChar w:fldCharType="end"/>
        </w:r>
      </w:hyperlink>
    </w:p>
    <w:p w14:paraId="1A5455DE" w14:textId="50E6F48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7" w:history="1">
        <w:r w:rsidRPr="009215B6">
          <w:rPr>
            <w:rStyle w:val="Hyperlink"/>
            <w:noProof/>
            <w:lang w:val="fr-FR"/>
          </w:rPr>
          <w:t>4.2 Les trois piliers du masterplan (Perpres 63/2022 et documents OIKN)</w:t>
        </w:r>
        <w:r>
          <w:rPr>
            <w:noProof/>
            <w:webHidden/>
          </w:rPr>
          <w:tab/>
        </w:r>
        <w:r>
          <w:rPr>
            <w:noProof/>
            <w:webHidden/>
          </w:rPr>
          <w:fldChar w:fldCharType="begin"/>
        </w:r>
        <w:r>
          <w:rPr>
            <w:noProof/>
            <w:webHidden/>
          </w:rPr>
          <w:instrText xml:space="preserve"> PAGEREF _Toc236489367 \h </w:instrText>
        </w:r>
        <w:r>
          <w:rPr>
            <w:noProof/>
            <w:webHidden/>
          </w:rPr>
        </w:r>
        <w:r>
          <w:rPr>
            <w:noProof/>
            <w:webHidden/>
          </w:rPr>
          <w:fldChar w:fldCharType="separate"/>
        </w:r>
        <w:r>
          <w:rPr>
            <w:noProof/>
            <w:webHidden/>
          </w:rPr>
          <w:t>3</w:t>
        </w:r>
        <w:r>
          <w:rPr>
            <w:noProof/>
            <w:webHidden/>
          </w:rPr>
          <w:fldChar w:fldCharType="end"/>
        </w:r>
      </w:hyperlink>
    </w:p>
    <w:p w14:paraId="306EF7EC" w14:textId="654DA16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68" w:history="1">
        <w:r w:rsidRPr="009215B6">
          <w:rPr>
            <w:rStyle w:val="Hyperlink"/>
            <w:noProof/>
            <w:lang w:val="fr-FR"/>
          </w:rPr>
          <w:t>4.3 Objectifs énergétiques et climatiques officiels</w:t>
        </w:r>
        <w:r>
          <w:rPr>
            <w:noProof/>
            <w:webHidden/>
          </w:rPr>
          <w:tab/>
        </w:r>
        <w:r>
          <w:rPr>
            <w:noProof/>
            <w:webHidden/>
          </w:rPr>
          <w:fldChar w:fldCharType="begin"/>
        </w:r>
        <w:r>
          <w:rPr>
            <w:noProof/>
            <w:webHidden/>
          </w:rPr>
          <w:instrText xml:space="preserve"> PAGEREF _Toc236489368 \h </w:instrText>
        </w:r>
        <w:r>
          <w:rPr>
            <w:noProof/>
            <w:webHidden/>
          </w:rPr>
        </w:r>
        <w:r>
          <w:rPr>
            <w:noProof/>
            <w:webHidden/>
          </w:rPr>
          <w:fldChar w:fldCharType="separate"/>
        </w:r>
        <w:r>
          <w:rPr>
            <w:noProof/>
            <w:webHidden/>
          </w:rPr>
          <w:t>3</w:t>
        </w:r>
        <w:r>
          <w:rPr>
            <w:noProof/>
            <w:webHidden/>
          </w:rPr>
          <w:fldChar w:fldCharType="end"/>
        </w:r>
      </w:hyperlink>
    </w:p>
    <w:p w14:paraId="2C29DD25" w14:textId="2EFE372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69" w:history="1">
        <w:r w:rsidRPr="009215B6">
          <w:rPr>
            <w:rStyle w:val="Hyperlink"/>
            <w:noProof/>
            <w:lang w:val="fr-FR"/>
          </w:rPr>
          <w:t>5. Comment Nusantara résout les défis de Jakarta</w:t>
        </w:r>
        <w:r>
          <w:rPr>
            <w:noProof/>
            <w:webHidden/>
          </w:rPr>
          <w:tab/>
        </w:r>
        <w:r>
          <w:rPr>
            <w:noProof/>
            <w:webHidden/>
          </w:rPr>
          <w:fldChar w:fldCharType="begin"/>
        </w:r>
        <w:r>
          <w:rPr>
            <w:noProof/>
            <w:webHidden/>
          </w:rPr>
          <w:instrText xml:space="preserve"> PAGEREF _Toc236489369 \h </w:instrText>
        </w:r>
        <w:r>
          <w:rPr>
            <w:noProof/>
            <w:webHidden/>
          </w:rPr>
        </w:r>
        <w:r>
          <w:rPr>
            <w:noProof/>
            <w:webHidden/>
          </w:rPr>
          <w:fldChar w:fldCharType="separate"/>
        </w:r>
        <w:r>
          <w:rPr>
            <w:noProof/>
            <w:webHidden/>
          </w:rPr>
          <w:t>3</w:t>
        </w:r>
        <w:r>
          <w:rPr>
            <w:noProof/>
            <w:webHidden/>
          </w:rPr>
          <w:fldChar w:fldCharType="end"/>
        </w:r>
      </w:hyperlink>
    </w:p>
    <w:p w14:paraId="5D15A80F" w14:textId="302D9962"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70" w:history="1">
        <w:r w:rsidRPr="009215B6">
          <w:rPr>
            <w:rStyle w:val="Hyperlink"/>
            <w:noProof/>
            <w:lang w:val="fr-FR"/>
          </w:rPr>
          <w:t>6. Options technologiques avancées : SWAC et nucléaire</w:t>
        </w:r>
        <w:r>
          <w:rPr>
            <w:noProof/>
            <w:webHidden/>
          </w:rPr>
          <w:tab/>
        </w:r>
        <w:r>
          <w:rPr>
            <w:noProof/>
            <w:webHidden/>
          </w:rPr>
          <w:fldChar w:fldCharType="begin"/>
        </w:r>
        <w:r>
          <w:rPr>
            <w:noProof/>
            <w:webHidden/>
          </w:rPr>
          <w:instrText xml:space="preserve"> PAGEREF _Toc236489370 \h </w:instrText>
        </w:r>
        <w:r>
          <w:rPr>
            <w:noProof/>
            <w:webHidden/>
          </w:rPr>
        </w:r>
        <w:r>
          <w:rPr>
            <w:noProof/>
            <w:webHidden/>
          </w:rPr>
          <w:fldChar w:fldCharType="separate"/>
        </w:r>
        <w:r>
          <w:rPr>
            <w:noProof/>
            <w:webHidden/>
          </w:rPr>
          <w:t>4</w:t>
        </w:r>
        <w:r>
          <w:rPr>
            <w:noProof/>
            <w:webHidden/>
          </w:rPr>
          <w:fldChar w:fldCharType="end"/>
        </w:r>
      </w:hyperlink>
    </w:p>
    <w:p w14:paraId="22DD3C90" w14:textId="2A799D4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1" w:history="1">
        <w:r w:rsidRPr="009215B6">
          <w:rPr>
            <w:rStyle w:val="Hyperlink"/>
            <w:noProof/>
            <w:lang w:val="fr-FR"/>
          </w:rPr>
          <w:t>6.1 District Cooling System (déjà engagé) et potentiel SWAC</w:t>
        </w:r>
        <w:r>
          <w:rPr>
            <w:noProof/>
            <w:webHidden/>
          </w:rPr>
          <w:tab/>
        </w:r>
        <w:r>
          <w:rPr>
            <w:noProof/>
            <w:webHidden/>
          </w:rPr>
          <w:fldChar w:fldCharType="begin"/>
        </w:r>
        <w:r>
          <w:rPr>
            <w:noProof/>
            <w:webHidden/>
          </w:rPr>
          <w:instrText xml:space="preserve"> PAGEREF _Toc236489371 \h </w:instrText>
        </w:r>
        <w:r>
          <w:rPr>
            <w:noProof/>
            <w:webHidden/>
          </w:rPr>
        </w:r>
        <w:r>
          <w:rPr>
            <w:noProof/>
            <w:webHidden/>
          </w:rPr>
          <w:fldChar w:fldCharType="separate"/>
        </w:r>
        <w:r>
          <w:rPr>
            <w:noProof/>
            <w:webHidden/>
          </w:rPr>
          <w:t>4</w:t>
        </w:r>
        <w:r>
          <w:rPr>
            <w:noProof/>
            <w:webHidden/>
          </w:rPr>
          <w:fldChar w:fldCharType="end"/>
        </w:r>
      </w:hyperlink>
    </w:p>
    <w:p w14:paraId="1C69367C" w14:textId="5336E63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2" w:history="1">
        <w:r w:rsidRPr="009215B6">
          <w:rPr>
            <w:rStyle w:val="Hyperlink"/>
            <w:noProof/>
            <w:lang w:val="fr-FR"/>
          </w:rPr>
          <w:t>6.2 Nucléaire : SMR, thorium et options flottantes / îles</w:t>
        </w:r>
        <w:r>
          <w:rPr>
            <w:noProof/>
            <w:webHidden/>
          </w:rPr>
          <w:tab/>
        </w:r>
        <w:r>
          <w:rPr>
            <w:noProof/>
            <w:webHidden/>
          </w:rPr>
          <w:fldChar w:fldCharType="begin"/>
        </w:r>
        <w:r>
          <w:rPr>
            <w:noProof/>
            <w:webHidden/>
          </w:rPr>
          <w:instrText xml:space="preserve"> PAGEREF _Toc236489372 \h </w:instrText>
        </w:r>
        <w:r>
          <w:rPr>
            <w:noProof/>
            <w:webHidden/>
          </w:rPr>
        </w:r>
        <w:r>
          <w:rPr>
            <w:noProof/>
            <w:webHidden/>
          </w:rPr>
          <w:fldChar w:fldCharType="separate"/>
        </w:r>
        <w:r>
          <w:rPr>
            <w:noProof/>
            <w:webHidden/>
          </w:rPr>
          <w:t>4</w:t>
        </w:r>
        <w:r>
          <w:rPr>
            <w:noProof/>
            <w:webHidden/>
          </w:rPr>
          <w:fldChar w:fldCharType="end"/>
        </w:r>
      </w:hyperlink>
    </w:p>
    <w:p w14:paraId="0B5BE22E" w14:textId="2FC8D51A"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3" w:history="1">
        <w:r w:rsidRPr="009215B6">
          <w:rPr>
            <w:rStyle w:val="Hyperlink"/>
            <w:noProof/>
            <w:lang w:val="fr-FR"/>
          </w:rPr>
          <w:t>6.3 Non-prolifération et cadre international</w:t>
        </w:r>
        <w:r>
          <w:rPr>
            <w:noProof/>
            <w:webHidden/>
          </w:rPr>
          <w:tab/>
        </w:r>
        <w:r>
          <w:rPr>
            <w:noProof/>
            <w:webHidden/>
          </w:rPr>
          <w:fldChar w:fldCharType="begin"/>
        </w:r>
        <w:r>
          <w:rPr>
            <w:noProof/>
            <w:webHidden/>
          </w:rPr>
          <w:instrText xml:space="preserve"> PAGEREF _Toc236489373 \h </w:instrText>
        </w:r>
        <w:r>
          <w:rPr>
            <w:noProof/>
            <w:webHidden/>
          </w:rPr>
        </w:r>
        <w:r>
          <w:rPr>
            <w:noProof/>
            <w:webHidden/>
          </w:rPr>
          <w:fldChar w:fldCharType="separate"/>
        </w:r>
        <w:r>
          <w:rPr>
            <w:noProof/>
            <w:webHidden/>
          </w:rPr>
          <w:t>4</w:t>
        </w:r>
        <w:r>
          <w:rPr>
            <w:noProof/>
            <w:webHidden/>
          </w:rPr>
          <w:fldChar w:fldCharType="end"/>
        </w:r>
      </w:hyperlink>
    </w:p>
    <w:p w14:paraId="5F00BBDA" w14:textId="1F0A7E2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74" w:history="1">
        <w:r w:rsidRPr="009215B6">
          <w:rPr>
            <w:rStyle w:val="Hyperlink"/>
            <w:noProof/>
            <w:lang w:val="fr-FR"/>
          </w:rPr>
          <w:t>7. Synthèse et perspectives</w:t>
        </w:r>
        <w:r>
          <w:rPr>
            <w:noProof/>
            <w:webHidden/>
          </w:rPr>
          <w:tab/>
        </w:r>
        <w:r>
          <w:rPr>
            <w:noProof/>
            <w:webHidden/>
          </w:rPr>
          <w:fldChar w:fldCharType="begin"/>
        </w:r>
        <w:r>
          <w:rPr>
            <w:noProof/>
            <w:webHidden/>
          </w:rPr>
          <w:instrText xml:space="preserve"> PAGEREF _Toc236489374 \h </w:instrText>
        </w:r>
        <w:r>
          <w:rPr>
            <w:noProof/>
            <w:webHidden/>
          </w:rPr>
        </w:r>
        <w:r>
          <w:rPr>
            <w:noProof/>
            <w:webHidden/>
          </w:rPr>
          <w:fldChar w:fldCharType="separate"/>
        </w:r>
        <w:r>
          <w:rPr>
            <w:noProof/>
            <w:webHidden/>
          </w:rPr>
          <w:t>4</w:t>
        </w:r>
        <w:r>
          <w:rPr>
            <w:noProof/>
            <w:webHidden/>
          </w:rPr>
          <w:fldChar w:fldCharType="end"/>
        </w:r>
      </w:hyperlink>
    </w:p>
    <w:p w14:paraId="3A337C6D" w14:textId="3062393B"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75" w:history="1">
        <w:r w:rsidRPr="009215B6">
          <w:rPr>
            <w:rStyle w:val="Hyperlink"/>
            <w:noProof/>
            <w:lang w:val="fr-FR"/>
          </w:rPr>
          <w:t>8. Références factuelles (URLs)</w:t>
        </w:r>
        <w:r>
          <w:rPr>
            <w:noProof/>
            <w:webHidden/>
          </w:rPr>
          <w:tab/>
        </w:r>
        <w:r>
          <w:rPr>
            <w:noProof/>
            <w:webHidden/>
          </w:rPr>
          <w:fldChar w:fldCharType="begin"/>
        </w:r>
        <w:r>
          <w:rPr>
            <w:noProof/>
            <w:webHidden/>
          </w:rPr>
          <w:instrText xml:space="preserve"> PAGEREF _Toc236489375 \h </w:instrText>
        </w:r>
        <w:r>
          <w:rPr>
            <w:noProof/>
            <w:webHidden/>
          </w:rPr>
        </w:r>
        <w:r>
          <w:rPr>
            <w:noProof/>
            <w:webHidden/>
          </w:rPr>
          <w:fldChar w:fldCharType="separate"/>
        </w:r>
        <w:r>
          <w:rPr>
            <w:noProof/>
            <w:webHidden/>
          </w:rPr>
          <w:t>5</w:t>
        </w:r>
        <w:r>
          <w:rPr>
            <w:noProof/>
            <w:webHidden/>
          </w:rPr>
          <w:fldChar w:fldCharType="end"/>
        </w:r>
      </w:hyperlink>
    </w:p>
    <w:p w14:paraId="64394074" w14:textId="2F5900CC"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6" w:history="1">
        <w:r w:rsidRPr="009215B6">
          <w:rPr>
            <w:rStyle w:val="Hyperlink"/>
            <w:noProof/>
            <w:lang w:val="fr-FR"/>
          </w:rPr>
          <w:t>Sources officielles Nusantara / IKN</w:t>
        </w:r>
        <w:r>
          <w:rPr>
            <w:noProof/>
            <w:webHidden/>
          </w:rPr>
          <w:tab/>
        </w:r>
        <w:r>
          <w:rPr>
            <w:noProof/>
            <w:webHidden/>
          </w:rPr>
          <w:fldChar w:fldCharType="begin"/>
        </w:r>
        <w:r>
          <w:rPr>
            <w:noProof/>
            <w:webHidden/>
          </w:rPr>
          <w:instrText xml:space="preserve"> PAGEREF _Toc236489376 \h </w:instrText>
        </w:r>
        <w:r>
          <w:rPr>
            <w:noProof/>
            <w:webHidden/>
          </w:rPr>
        </w:r>
        <w:r>
          <w:rPr>
            <w:noProof/>
            <w:webHidden/>
          </w:rPr>
          <w:fldChar w:fldCharType="separate"/>
        </w:r>
        <w:r>
          <w:rPr>
            <w:noProof/>
            <w:webHidden/>
          </w:rPr>
          <w:t>5</w:t>
        </w:r>
        <w:r>
          <w:rPr>
            <w:noProof/>
            <w:webHidden/>
          </w:rPr>
          <w:fldChar w:fldCharType="end"/>
        </w:r>
      </w:hyperlink>
    </w:p>
    <w:p w14:paraId="036AA0B3" w14:textId="4BA3730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7" w:history="1">
        <w:r w:rsidRPr="009215B6">
          <w:rPr>
            <w:rStyle w:val="Hyperlink"/>
            <w:noProof/>
            <w:lang w:val="fr-FR"/>
          </w:rPr>
          <w:t>Énergie et District Cooling IKN</w:t>
        </w:r>
        <w:r>
          <w:rPr>
            <w:noProof/>
            <w:webHidden/>
          </w:rPr>
          <w:tab/>
        </w:r>
        <w:r>
          <w:rPr>
            <w:noProof/>
            <w:webHidden/>
          </w:rPr>
          <w:fldChar w:fldCharType="begin"/>
        </w:r>
        <w:r>
          <w:rPr>
            <w:noProof/>
            <w:webHidden/>
          </w:rPr>
          <w:instrText xml:space="preserve"> PAGEREF _Toc236489377 \h </w:instrText>
        </w:r>
        <w:r>
          <w:rPr>
            <w:noProof/>
            <w:webHidden/>
          </w:rPr>
        </w:r>
        <w:r>
          <w:rPr>
            <w:noProof/>
            <w:webHidden/>
          </w:rPr>
          <w:fldChar w:fldCharType="separate"/>
        </w:r>
        <w:r>
          <w:rPr>
            <w:noProof/>
            <w:webHidden/>
          </w:rPr>
          <w:t>5</w:t>
        </w:r>
        <w:r>
          <w:rPr>
            <w:noProof/>
            <w:webHidden/>
          </w:rPr>
          <w:fldChar w:fldCharType="end"/>
        </w:r>
      </w:hyperlink>
    </w:p>
    <w:p w14:paraId="2CA39E7D" w14:textId="38DBE9A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8" w:history="1">
        <w:r w:rsidRPr="009215B6">
          <w:rPr>
            <w:rStyle w:val="Hyperlink"/>
            <w:noProof/>
            <w:lang w:val="fr-FR"/>
          </w:rPr>
          <w:t>Jakarta – Subsidence, inondations, climat</w:t>
        </w:r>
        <w:r>
          <w:rPr>
            <w:noProof/>
            <w:webHidden/>
          </w:rPr>
          <w:tab/>
        </w:r>
        <w:r>
          <w:rPr>
            <w:noProof/>
            <w:webHidden/>
          </w:rPr>
          <w:fldChar w:fldCharType="begin"/>
        </w:r>
        <w:r>
          <w:rPr>
            <w:noProof/>
            <w:webHidden/>
          </w:rPr>
          <w:instrText xml:space="preserve"> PAGEREF _Toc236489378 \h </w:instrText>
        </w:r>
        <w:r>
          <w:rPr>
            <w:noProof/>
            <w:webHidden/>
          </w:rPr>
        </w:r>
        <w:r>
          <w:rPr>
            <w:noProof/>
            <w:webHidden/>
          </w:rPr>
          <w:fldChar w:fldCharType="separate"/>
        </w:r>
        <w:r>
          <w:rPr>
            <w:noProof/>
            <w:webHidden/>
          </w:rPr>
          <w:t>5</w:t>
        </w:r>
        <w:r>
          <w:rPr>
            <w:noProof/>
            <w:webHidden/>
          </w:rPr>
          <w:fldChar w:fldCharType="end"/>
        </w:r>
      </w:hyperlink>
    </w:p>
    <w:p w14:paraId="1C03E260" w14:textId="4F63BC5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79" w:history="1">
        <w:r w:rsidRPr="009215B6">
          <w:rPr>
            <w:rStyle w:val="Hyperlink"/>
            <w:noProof/>
            <w:lang w:val="fr-FR"/>
          </w:rPr>
          <w:t>Singapour – Énergie et UHI</w:t>
        </w:r>
        <w:r>
          <w:rPr>
            <w:noProof/>
            <w:webHidden/>
          </w:rPr>
          <w:tab/>
        </w:r>
        <w:r>
          <w:rPr>
            <w:noProof/>
            <w:webHidden/>
          </w:rPr>
          <w:fldChar w:fldCharType="begin"/>
        </w:r>
        <w:r>
          <w:rPr>
            <w:noProof/>
            <w:webHidden/>
          </w:rPr>
          <w:instrText xml:space="preserve"> PAGEREF _Toc236489379 \h </w:instrText>
        </w:r>
        <w:r>
          <w:rPr>
            <w:noProof/>
            <w:webHidden/>
          </w:rPr>
        </w:r>
        <w:r>
          <w:rPr>
            <w:noProof/>
            <w:webHidden/>
          </w:rPr>
          <w:fldChar w:fldCharType="separate"/>
        </w:r>
        <w:r>
          <w:rPr>
            <w:noProof/>
            <w:webHidden/>
          </w:rPr>
          <w:t>5</w:t>
        </w:r>
        <w:r>
          <w:rPr>
            <w:noProof/>
            <w:webHidden/>
          </w:rPr>
          <w:fldChar w:fldCharType="end"/>
        </w:r>
      </w:hyperlink>
    </w:p>
    <w:p w14:paraId="5C1042DB" w14:textId="34E561A5"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80" w:history="1">
        <w:r w:rsidRPr="009215B6">
          <w:rPr>
            <w:rStyle w:val="Hyperlink"/>
            <w:noProof/>
            <w:lang w:val="fr-FR"/>
          </w:rPr>
          <w:t>Nucléaire Indonésie</w:t>
        </w:r>
        <w:r>
          <w:rPr>
            <w:noProof/>
            <w:webHidden/>
          </w:rPr>
          <w:tab/>
        </w:r>
        <w:r>
          <w:rPr>
            <w:noProof/>
            <w:webHidden/>
          </w:rPr>
          <w:fldChar w:fldCharType="begin"/>
        </w:r>
        <w:r>
          <w:rPr>
            <w:noProof/>
            <w:webHidden/>
          </w:rPr>
          <w:instrText xml:space="preserve"> PAGEREF _Toc236489380 \h </w:instrText>
        </w:r>
        <w:r>
          <w:rPr>
            <w:noProof/>
            <w:webHidden/>
          </w:rPr>
        </w:r>
        <w:r>
          <w:rPr>
            <w:noProof/>
            <w:webHidden/>
          </w:rPr>
          <w:fldChar w:fldCharType="separate"/>
        </w:r>
        <w:r>
          <w:rPr>
            <w:noProof/>
            <w:webHidden/>
          </w:rPr>
          <w:t>5</w:t>
        </w:r>
        <w:r>
          <w:rPr>
            <w:noProof/>
            <w:webHidden/>
          </w:rPr>
          <w:fldChar w:fldCharType="end"/>
        </w:r>
      </w:hyperlink>
    </w:p>
    <w:p w14:paraId="76E1BE6C" w14:textId="47E9C1E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81" w:history="1">
        <w:r w:rsidRPr="009215B6">
          <w:rPr>
            <w:rStyle w:val="Hyperlink"/>
            <w:noProof/>
            <w:lang w:val="fr-FR"/>
          </w:rPr>
          <w:t>SWAC (Seawater Air Conditioning)</w:t>
        </w:r>
        <w:r>
          <w:rPr>
            <w:noProof/>
            <w:webHidden/>
          </w:rPr>
          <w:tab/>
        </w:r>
        <w:r>
          <w:rPr>
            <w:noProof/>
            <w:webHidden/>
          </w:rPr>
          <w:fldChar w:fldCharType="begin"/>
        </w:r>
        <w:r>
          <w:rPr>
            <w:noProof/>
            <w:webHidden/>
          </w:rPr>
          <w:instrText xml:space="preserve"> PAGEREF _Toc236489381 \h </w:instrText>
        </w:r>
        <w:r>
          <w:rPr>
            <w:noProof/>
            <w:webHidden/>
          </w:rPr>
        </w:r>
        <w:r>
          <w:rPr>
            <w:noProof/>
            <w:webHidden/>
          </w:rPr>
          <w:fldChar w:fldCharType="separate"/>
        </w:r>
        <w:r>
          <w:rPr>
            <w:noProof/>
            <w:webHidden/>
          </w:rPr>
          <w:t>5</w:t>
        </w:r>
        <w:r>
          <w:rPr>
            <w:noProof/>
            <w:webHidden/>
          </w:rPr>
          <w:fldChar w:fldCharType="end"/>
        </w:r>
      </w:hyperlink>
    </w:p>
    <w:p w14:paraId="4D532088" w14:textId="0F48B17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382" w:history="1">
        <w:r w:rsidRPr="009215B6">
          <w:rPr>
            <w:rStyle w:val="Hyperlink"/>
            <w:noProof/>
            <w:lang w:val="fr-FR"/>
          </w:rPr>
          <w:t>Autres</w:t>
        </w:r>
        <w:r>
          <w:rPr>
            <w:noProof/>
            <w:webHidden/>
          </w:rPr>
          <w:tab/>
        </w:r>
        <w:r>
          <w:rPr>
            <w:noProof/>
            <w:webHidden/>
          </w:rPr>
          <w:fldChar w:fldCharType="begin"/>
        </w:r>
        <w:r>
          <w:rPr>
            <w:noProof/>
            <w:webHidden/>
          </w:rPr>
          <w:instrText xml:space="preserve"> PAGEREF _Toc236489382 \h </w:instrText>
        </w:r>
        <w:r>
          <w:rPr>
            <w:noProof/>
            <w:webHidden/>
          </w:rPr>
        </w:r>
        <w:r>
          <w:rPr>
            <w:noProof/>
            <w:webHidden/>
          </w:rPr>
          <w:fldChar w:fldCharType="separate"/>
        </w:r>
        <w:r>
          <w:rPr>
            <w:noProof/>
            <w:webHidden/>
          </w:rPr>
          <w:t>5</w:t>
        </w:r>
        <w:r>
          <w:rPr>
            <w:noProof/>
            <w:webHidden/>
          </w:rPr>
          <w:fldChar w:fldCharType="end"/>
        </w:r>
      </w:hyperlink>
    </w:p>
    <w:p w14:paraId="0913DF72" w14:textId="359724C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83" w:history="1">
        <w:r w:rsidRPr="009215B6">
          <w:rPr>
            <w:rStyle w:val="Hyperlink"/>
            <w:noProof/>
            <w:lang w:val="fr-FR"/>
          </w:rPr>
          <w:t>9. Index complet</w:t>
        </w:r>
        <w:r>
          <w:rPr>
            <w:noProof/>
            <w:webHidden/>
          </w:rPr>
          <w:tab/>
        </w:r>
        <w:r>
          <w:rPr>
            <w:noProof/>
            <w:webHidden/>
          </w:rPr>
          <w:fldChar w:fldCharType="begin"/>
        </w:r>
        <w:r>
          <w:rPr>
            <w:noProof/>
            <w:webHidden/>
          </w:rPr>
          <w:instrText xml:space="preserve"> PAGEREF _Toc236489383 \h </w:instrText>
        </w:r>
        <w:r>
          <w:rPr>
            <w:noProof/>
            <w:webHidden/>
          </w:rPr>
        </w:r>
        <w:r>
          <w:rPr>
            <w:noProof/>
            <w:webHidden/>
          </w:rPr>
          <w:fldChar w:fldCharType="separate"/>
        </w:r>
        <w:r>
          <w:rPr>
            <w:noProof/>
            <w:webHidden/>
          </w:rPr>
          <w:t>6</w:t>
        </w:r>
        <w:r>
          <w:rPr>
            <w:noProof/>
            <w:webHidden/>
          </w:rPr>
          <w:fldChar w:fldCharType="end"/>
        </w:r>
      </w:hyperlink>
    </w:p>
    <w:p w14:paraId="5A6FCA51" w14:textId="66FD5357"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384" w:history="1">
        <w:r w:rsidRPr="009215B6">
          <w:rPr>
            <w:rStyle w:val="Hyperlink"/>
            <w:noProof/>
            <w:lang w:val="fr-FR"/>
          </w:rPr>
          <w:t>ANNEXE 0 : Amélioration de la base du projet de base Nusantara par contribution universelle</w:t>
        </w:r>
        <w:r>
          <w:rPr>
            <w:noProof/>
            <w:webHidden/>
          </w:rPr>
          <w:tab/>
        </w:r>
        <w:r>
          <w:rPr>
            <w:noProof/>
            <w:webHidden/>
          </w:rPr>
          <w:fldChar w:fldCharType="begin"/>
        </w:r>
        <w:r>
          <w:rPr>
            <w:noProof/>
            <w:webHidden/>
          </w:rPr>
          <w:instrText xml:space="preserve"> PAGEREF _Toc236489384 \h </w:instrText>
        </w:r>
        <w:r>
          <w:rPr>
            <w:noProof/>
            <w:webHidden/>
          </w:rPr>
        </w:r>
        <w:r>
          <w:rPr>
            <w:noProof/>
            <w:webHidden/>
          </w:rPr>
          <w:fldChar w:fldCharType="separate"/>
        </w:r>
        <w:r>
          <w:rPr>
            <w:noProof/>
            <w:webHidden/>
          </w:rPr>
          <w:t>7</w:t>
        </w:r>
        <w:r>
          <w:rPr>
            <w:noProof/>
            <w:webHidden/>
          </w:rPr>
          <w:fldChar w:fldCharType="end"/>
        </w:r>
      </w:hyperlink>
    </w:p>
    <w:p w14:paraId="0DB15E38" w14:textId="1F3BB3DD"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385" w:history="1">
        <w:r w:rsidRPr="009215B6">
          <w:rPr>
            <w:rStyle w:val="Hyperlink"/>
            <w:noProof/>
            <w:lang w:val="fr-FR"/>
          </w:rPr>
          <w:t>SPÉCIFICATION FONCTIONNELLE: CrowdSupport Nusantara</w:t>
        </w:r>
        <w:r>
          <w:rPr>
            <w:noProof/>
            <w:webHidden/>
          </w:rPr>
          <w:tab/>
        </w:r>
        <w:r>
          <w:rPr>
            <w:noProof/>
            <w:webHidden/>
          </w:rPr>
          <w:fldChar w:fldCharType="begin"/>
        </w:r>
        <w:r>
          <w:rPr>
            <w:noProof/>
            <w:webHidden/>
          </w:rPr>
          <w:instrText xml:space="preserve"> PAGEREF _Toc236489385 \h </w:instrText>
        </w:r>
        <w:r>
          <w:rPr>
            <w:noProof/>
            <w:webHidden/>
          </w:rPr>
        </w:r>
        <w:r>
          <w:rPr>
            <w:noProof/>
            <w:webHidden/>
          </w:rPr>
          <w:fldChar w:fldCharType="separate"/>
        </w:r>
        <w:r>
          <w:rPr>
            <w:noProof/>
            <w:webHidden/>
          </w:rPr>
          <w:t>10</w:t>
        </w:r>
        <w:r>
          <w:rPr>
            <w:noProof/>
            <w:webHidden/>
          </w:rPr>
          <w:fldChar w:fldCharType="end"/>
        </w:r>
      </w:hyperlink>
    </w:p>
    <w:p w14:paraId="6878472F" w14:textId="6DEFA19B"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86" w:history="1">
        <w:r w:rsidRPr="009215B6">
          <w:rPr>
            <w:rStyle w:val="Hyperlink"/>
            <w:noProof/>
            <w:lang w:val="fr-FR"/>
          </w:rPr>
          <w:t>1. Vision et objectifs</w:t>
        </w:r>
        <w:r>
          <w:rPr>
            <w:noProof/>
            <w:webHidden/>
          </w:rPr>
          <w:tab/>
        </w:r>
        <w:r>
          <w:rPr>
            <w:noProof/>
            <w:webHidden/>
          </w:rPr>
          <w:fldChar w:fldCharType="begin"/>
        </w:r>
        <w:r>
          <w:rPr>
            <w:noProof/>
            <w:webHidden/>
          </w:rPr>
          <w:instrText xml:space="preserve"> PAGEREF _Toc236489386 \h </w:instrText>
        </w:r>
        <w:r>
          <w:rPr>
            <w:noProof/>
            <w:webHidden/>
          </w:rPr>
        </w:r>
        <w:r>
          <w:rPr>
            <w:noProof/>
            <w:webHidden/>
          </w:rPr>
          <w:fldChar w:fldCharType="separate"/>
        </w:r>
        <w:r>
          <w:rPr>
            <w:noProof/>
            <w:webHidden/>
          </w:rPr>
          <w:t>10</w:t>
        </w:r>
        <w:r>
          <w:rPr>
            <w:noProof/>
            <w:webHidden/>
          </w:rPr>
          <w:fldChar w:fldCharType="end"/>
        </w:r>
      </w:hyperlink>
    </w:p>
    <w:p w14:paraId="694FC2CB" w14:textId="2D8400D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87" w:history="1">
        <w:r w:rsidRPr="009215B6">
          <w:rPr>
            <w:rStyle w:val="Hyperlink"/>
            <w:noProof/>
            <w:lang w:val="fr-FR"/>
          </w:rPr>
          <w:t>2. Rôles utilisateurs et permissions</w:t>
        </w:r>
        <w:r>
          <w:rPr>
            <w:noProof/>
            <w:webHidden/>
          </w:rPr>
          <w:tab/>
        </w:r>
        <w:r>
          <w:rPr>
            <w:noProof/>
            <w:webHidden/>
          </w:rPr>
          <w:fldChar w:fldCharType="begin"/>
        </w:r>
        <w:r>
          <w:rPr>
            <w:noProof/>
            <w:webHidden/>
          </w:rPr>
          <w:instrText xml:space="preserve"> PAGEREF _Toc236489387 \h </w:instrText>
        </w:r>
        <w:r>
          <w:rPr>
            <w:noProof/>
            <w:webHidden/>
          </w:rPr>
        </w:r>
        <w:r>
          <w:rPr>
            <w:noProof/>
            <w:webHidden/>
          </w:rPr>
          <w:fldChar w:fldCharType="separate"/>
        </w:r>
        <w:r>
          <w:rPr>
            <w:noProof/>
            <w:webHidden/>
          </w:rPr>
          <w:t>10</w:t>
        </w:r>
        <w:r>
          <w:rPr>
            <w:noProof/>
            <w:webHidden/>
          </w:rPr>
          <w:fldChar w:fldCharType="end"/>
        </w:r>
      </w:hyperlink>
    </w:p>
    <w:p w14:paraId="33F0D517" w14:textId="4A6CA9E0"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88" w:history="1">
        <w:r w:rsidRPr="009215B6">
          <w:rPr>
            <w:rStyle w:val="Hyperlink"/>
            <w:noProof/>
            <w:lang w:val="fr-FR"/>
          </w:rPr>
          <w:t>2.1 Administrateur (François Dorléans)</w:t>
        </w:r>
        <w:r>
          <w:rPr>
            <w:noProof/>
            <w:webHidden/>
          </w:rPr>
          <w:tab/>
        </w:r>
        <w:r>
          <w:rPr>
            <w:noProof/>
            <w:webHidden/>
          </w:rPr>
          <w:fldChar w:fldCharType="begin"/>
        </w:r>
        <w:r>
          <w:rPr>
            <w:noProof/>
            <w:webHidden/>
          </w:rPr>
          <w:instrText xml:space="preserve"> PAGEREF _Toc236489388 \h </w:instrText>
        </w:r>
        <w:r>
          <w:rPr>
            <w:noProof/>
            <w:webHidden/>
          </w:rPr>
        </w:r>
        <w:r>
          <w:rPr>
            <w:noProof/>
            <w:webHidden/>
          </w:rPr>
          <w:fldChar w:fldCharType="separate"/>
        </w:r>
        <w:r>
          <w:rPr>
            <w:noProof/>
            <w:webHidden/>
          </w:rPr>
          <w:t>10</w:t>
        </w:r>
        <w:r>
          <w:rPr>
            <w:noProof/>
            <w:webHidden/>
          </w:rPr>
          <w:fldChar w:fldCharType="end"/>
        </w:r>
      </w:hyperlink>
    </w:p>
    <w:p w14:paraId="392BAA0C" w14:textId="20EEDCDE"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89" w:history="1">
        <w:r w:rsidRPr="009215B6">
          <w:rPr>
            <w:rStyle w:val="Hyperlink"/>
            <w:noProof/>
            <w:lang w:val="fr-FR"/>
          </w:rPr>
          <w:t>2.2 Sage (usager sage)</w:t>
        </w:r>
        <w:r>
          <w:rPr>
            <w:noProof/>
            <w:webHidden/>
          </w:rPr>
          <w:tab/>
        </w:r>
        <w:r>
          <w:rPr>
            <w:noProof/>
            <w:webHidden/>
          </w:rPr>
          <w:fldChar w:fldCharType="begin"/>
        </w:r>
        <w:r>
          <w:rPr>
            <w:noProof/>
            <w:webHidden/>
          </w:rPr>
          <w:instrText xml:space="preserve"> PAGEREF _Toc236489389 \h </w:instrText>
        </w:r>
        <w:r>
          <w:rPr>
            <w:noProof/>
            <w:webHidden/>
          </w:rPr>
        </w:r>
        <w:r>
          <w:rPr>
            <w:noProof/>
            <w:webHidden/>
          </w:rPr>
          <w:fldChar w:fldCharType="separate"/>
        </w:r>
        <w:r>
          <w:rPr>
            <w:noProof/>
            <w:webHidden/>
          </w:rPr>
          <w:t>10</w:t>
        </w:r>
        <w:r>
          <w:rPr>
            <w:noProof/>
            <w:webHidden/>
          </w:rPr>
          <w:fldChar w:fldCharType="end"/>
        </w:r>
      </w:hyperlink>
    </w:p>
    <w:p w14:paraId="5B276E44" w14:textId="26128B38"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0" w:history="1">
        <w:r w:rsidRPr="009215B6">
          <w:rPr>
            <w:rStyle w:val="Hyperlink"/>
            <w:noProof/>
            <w:lang w:val="fr-FR"/>
          </w:rPr>
          <w:t>2.3 Contributeur (profil payant)</w:t>
        </w:r>
        <w:r>
          <w:rPr>
            <w:noProof/>
            <w:webHidden/>
          </w:rPr>
          <w:tab/>
        </w:r>
        <w:r>
          <w:rPr>
            <w:noProof/>
            <w:webHidden/>
          </w:rPr>
          <w:fldChar w:fldCharType="begin"/>
        </w:r>
        <w:r>
          <w:rPr>
            <w:noProof/>
            <w:webHidden/>
          </w:rPr>
          <w:instrText xml:space="preserve"> PAGEREF _Toc236489390 \h </w:instrText>
        </w:r>
        <w:r>
          <w:rPr>
            <w:noProof/>
            <w:webHidden/>
          </w:rPr>
        </w:r>
        <w:r>
          <w:rPr>
            <w:noProof/>
            <w:webHidden/>
          </w:rPr>
          <w:fldChar w:fldCharType="separate"/>
        </w:r>
        <w:r>
          <w:rPr>
            <w:noProof/>
            <w:webHidden/>
          </w:rPr>
          <w:t>10</w:t>
        </w:r>
        <w:r>
          <w:rPr>
            <w:noProof/>
            <w:webHidden/>
          </w:rPr>
          <w:fldChar w:fldCharType="end"/>
        </w:r>
      </w:hyperlink>
    </w:p>
    <w:p w14:paraId="12BE13BA" w14:textId="62D469C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1" w:history="1">
        <w:r w:rsidRPr="009215B6">
          <w:rPr>
            <w:rStyle w:val="Hyperlink"/>
            <w:noProof/>
            <w:lang w:val="fr-FR"/>
          </w:rPr>
          <w:t>2.4 Visiteur / Guest</w:t>
        </w:r>
        <w:r>
          <w:rPr>
            <w:noProof/>
            <w:webHidden/>
          </w:rPr>
          <w:tab/>
        </w:r>
        <w:r>
          <w:rPr>
            <w:noProof/>
            <w:webHidden/>
          </w:rPr>
          <w:fldChar w:fldCharType="begin"/>
        </w:r>
        <w:r>
          <w:rPr>
            <w:noProof/>
            <w:webHidden/>
          </w:rPr>
          <w:instrText xml:space="preserve"> PAGEREF _Toc236489391 \h </w:instrText>
        </w:r>
        <w:r>
          <w:rPr>
            <w:noProof/>
            <w:webHidden/>
          </w:rPr>
        </w:r>
        <w:r>
          <w:rPr>
            <w:noProof/>
            <w:webHidden/>
          </w:rPr>
          <w:fldChar w:fldCharType="separate"/>
        </w:r>
        <w:r>
          <w:rPr>
            <w:noProof/>
            <w:webHidden/>
          </w:rPr>
          <w:t>10</w:t>
        </w:r>
        <w:r>
          <w:rPr>
            <w:noProof/>
            <w:webHidden/>
          </w:rPr>
          <w:fldChar w:fldCharType="end"/>
        </w:r>
      </w:hyperlink>
    </w:p>
    <w:p w14:paraId="21078510" w14:textId="6FBBEF3B"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2" w:history="1">
        <w:r w:rsidRPr="009215B6">
          <w:rPr>
            <w:rStyle w:val="Hyperlink"/>
            <w:noProof/>
            <w:lang w:val="fr-FR"/>
          </w:rPr>
          <w:t>3. Système de paiement, tarifs et tokens</w:t>
        </w:r>
        <w:r>
          <w:rPr>
            <w:noProof/>
            <w:webHidden/>
          </w:rPr>
          <w:tab/>
        </w:r>
        <w:r>
          <w:rPr>
            <w:noProof/>
            <w:webHidden/>
          </w:rPr>
          <w:fldChar w:fldCharType="begin"/>
        </w:r>
        <w:r>
          <w:rPr>
            <w:noProof/>
            <w:webHidden/>
          </w:rPr>
          <w:instrText xml:space="preserve"> PAGEREF _Toc236489392 \h </w:instrText>
        </w:r>
        <w:r>
          <w:rPr>
            <w:noProof/>
            <w:webHidden/>
          </w:rPr>
        </w:r>
        <w:r>
          <w:rPr>
            <w:noProof/>
            <w:webHidden/>
          </w:rPr>
          <w:fldChar w:fldCharType="separate"/>
        </w:r>
        <w:r>
          <w:rPr>
            <w:noProof/>
            <w:webHidden/>
          </w:rPr>
          <w:t>10</w:t>
        </w:r>
        <w:r>
          <w:rPr>
            <w:noProof/>
            <w:webHidden/>
          </w:rPr>
          <w:fldChar w:fldCharType="end"/>
        </w:r>
      </w:hyperlink>
    </w:p>
    <w:p w14:paraId="38887D05" w14:textId="7800836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3" w:history="1">
        <w:r w:rsidRPr="009215B6">
          <w:rPr>
            <w:rStyle w:val="Hyperlink"/>
            <w:noProof/>
            <w:lang w:val="fr-FR"/>
          </w:rPr>
          <w:t>3.1 Fournisseurs de paiement recommandés (européens prioritaires)</w:t>
        </w:r>
        <w:r>
          <w:rPr>
            <w:noProof/>
            <w:webHidden/>
          </w:rPr>
          <w:tab/>
        </w:r>
        <w:r>
          <w:rPr>
            <w:noProof/>
            <w:webHidden/>
          </w:rPr>
          <w:fldChar w:fldCharType="begin"/>
        </w:r>
        <w:r>
          <w:rPr>
            <w:noProof/>
            <w:webHidden/>
          </w:rPr>
          <w:instrText xml:space="preserve"> PAGEREF _Toc236489393 \h </w:instrText>
        </w:r>
        <w:r>
          <w:rPr>
            <w:noProof/>
            <w:webHidden/>
          </w:rPr>
        </w:r>
        <w:r>
          <w:rPr>
            <w:noProof/>
            <w:webHidden/>
          </w:rPr>
          <w:fldChar w:fldCharType="separate"/>
        </w:r>
        <w:r>
          <w:rPr>
            <w:noProof/>
            <w:webHidden/>
          </w:rPr>
          <w:t>11</w:t>
        </w:r>
        <w:r>
          <w:rPr>
            <w:noProof/>
            <w:webHidden/>
          </w:rPr>
          <w:fldChar w:fldCharType="end"/>
        </w:r>
      </w:hyperlink>
    </w:p>
    <w:p w14:paraId="67310A39" w14:textId="126A42A6"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4" w:history="1">
        <w:r w:rsidRPr="009215B6">
          <w:rPr>
            <w:rStyle w:val="Hyperlink"/>
            <w:noProof/>
            <w:lang w:val="fr-FR"/>
          </w:rPr>
          <w:t>3.2 Structure tarifaire</w:t>
        </w:r>
        <w:r>
          <w:rPr>
            <w:noProof/>
            <w:webHidden/>
          </w:rPr>
          <w:tab/>
        </w:r>
        <w:r>
          <w:rPr>
            <w:noProof/>
            <w:webHidden/>
          </w:rPr>
          <w:fldChar w:fldCharType="begin"/>
        </w:r>
        <w:r>
          <w:rPr>
            <w:noProof/>
            <w:webHidden/>
          </w:rPr>
          <w:instrText xml:space="preserve"> PAGEREF _Toc236489394 \h </w:instrText>
        </w:r>
        <w:r>
          <w:rPr>
            <w:noProof/>
            <w:webHidden/>
          </w:rPr>
        </w:r>
        <w:r>
          <w:rPr>
            <w:noProof/>
            <w:webHidden/>
          </w:rPr>
          <w:fldChar w:fldCharType="separate"/>
        </w:r>
        <w:r>
          <w:rPr>
            <w:noProof/>
            <w:webHidden/>
          </w:rPr>
          <w:t>11</w:t>
        </w:r>
        <w:r>
          <w:rPr>
            <w:noProof/>
            <w:webHidden/>
          </w:rPr>
          <w:fldChar w:fldCharType="end"/>
        </w:r>
      </w:hyperlink>
    </w:p>
    <w:p w14:paraId="5F620BA4" w14:textId="329CD9E3"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5" w:history="1">
        <w:r w:rsidRPr="009215B6">
          <w:rPr>
            <w:rStyle w:val="Hyperlink"/>
            <w:noProof/>
            <w:lang w:val="fr-FR"/>
          </w:rPr>
          <w:t>3.3 Index Token IA (transparence)</w:t>
        </w:r>
        <w:r>
          <w:rPr>
            <w:noProof/>
            <w:webHidden/>
          </w:rPr>
          <w:tab/>
        </w:r>
        <w:r>
          <w:rPr>
            <w:noProof/>
            <w:webHidden/>
          </w:rPr>
          <w:fldChar w:fldCharType="begin"/>
        </w:r>
        <w:r>
          <w:rPr>
            <w:noProof/>
            <w:webHidden/>
          </w:rPr>
          <w:instrText xml:space="preserve"> PAGEREF _Toc236489395 \h </w:instrText>
        </w:r>
        <w:r>
          <w:rPr>
            <w:noProof/>
            <w:webHidden/>
          </w:rPr>
        </w:r>
        <w:r>
          <w:rPr>
            <w:noProof/>
            <w:webHidden/>
          </w:rPr>
          <w:fldChar w:fldCharType="separate"/>
        </w:r>
        <w:r>
          <w:rPr>
            <w:noProof/>
            <w:webHidden/>
          </w:rPr>
          <w:t>11</w:t>
        </w:r>
        <w:r>
          <w:rPr>
            <w:noProof/>
            <w:webHidden/>
          </w:rPr>
          <w:fldChar w:fldCharType="end"/>
        </w:r>
      </w:hyperlink>
    </w:p>
    <w:p w14:paraId="4F6571BD" w14:textId="61461F4E"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6" w:history="1">
        <w:r w:rsidRPr="009215B6">
          <w:rPr>
            <w:rStyle w:val="Hyperlink"/>
            <w:noProof/>
            <w:lang w:val="fr-FR"/>
          </w:rPr>
          <w:t>3.4 Tunnel d’achat et période de réflexion (conception)</w:t>
        </w:r>
        <w:r>
          <w:rPr>
            <w:noProof/>
            <w:webHidden/>
          </w:rPr>
          <w:tab/>
        </w:r>
        <w:r>
          <w:rPr>
            <w:noProof/>
            <w:webHidden/>
          </w:rPr>
          <w:fldChar w:fldCharType="begin"/>
        </w:r>
        <w:r>
          <w:rPr>
            <w:noProof/>
            <w:webHidden/>
          </w:rPr>
          <w:instrText xml:space="preserve"> PAGEREF _Toc236489396 \h </w:instrText>
        </w:r>
        <w:r>
          <w:rPr>
            <w:noProof/>
            <w:webHidden/>
          </w:rPr>
        </w:r>
        <w:r>
          <w:rPr>
            <w:noProof/>
            <w:webHidden/>
          </w:rPr>
          <w:fldChar w:fldCharType="separate"/>
        </w:r>
        <w:r>
          <w:rPr>
            <w:noProof/>
            <w:webHidden/>
          </w:rPr>
          <w:t>11</w:t>
        </w:r>
        <w:r>
          <w:rPr>
            <w:noProof/>
            <w:webHidden/>
          </w:rPr>
          <w:fldChar w:fldCharType="end"/>
        </w:r>
      </w:hyperlink>
    </w:p>
    <w:p w14:paraId="01C92D5D" w14:textId="62C62B54"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7" w:history="1">
        <w:r w:rsidRPr="009215B6">
          <w:rPr>
            <w:rStyle w:val="Hyperlink"/>
            <w:noProof/>
            <w:lang w:val="fr-FR"/>
          </w:rPr>
          <w:t>4. Éditeur A3 assisté par le site (construction en couches)</w:t>
        </w:r>
        <w:r>
          <w:rPr>
            <w:noProof/>
            <w:webHidden/>
          </w:rPr>
          <w:tab/>
        </w:r>
        <w:r>
          <w:rPr>
            <w:noProof/>
            <w:webHidden/>
          </w:rPr>
          <w:fldChar w:fldCharType="begin"/>
        </w:r>
        <w:r>
          <w:rPr>
            <w:noProof/>
            <w:webHidden/>
          </w:rPr>
          <w:instrText xml:space="preserve"> PAGEREF _Toc236489397 \h </w:instrText>
        </w:r>
        <w:r>
          <w:rPr>
            <w:noProof/>
            <w:webHidden/>
          </w:rPr>
        </w:r>
        <w:r>
          <w:rPr>
            <w:noProof/>
            <w:webHidden/>
          </w:rPr>
          <w:fldChar w:fldCharType="separate"/>
        </w:r>
        <w:r>
          <w:rPr>
            <w:noProof/>
            <w:webHidden/>
          </w:rPr>
          <w:t>11</w:t>
        </w:r>
        <w:r>
          <w:rPr>
            <w:noProof/>
            <w:webHidden/>
          </w:rPr>
          <w:fldChar w:fldCharType="end"/>
        </w:r>
      </w:hyperlink>
    </w:p>
    <w:p w14:paraId="1DDE0A20" w14:textId="2E9BD633"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8" w:history="1">
        <w:r w:rsidRPr="009215B6">
          <w:rPr>
            <w:rStyle w:val="Hyperlink"/>
            <w:noProof/>
            <w:lang w:val="fr-FR"/>
          </w:rPr>
          <w:t>4.1 Principe SWOT-PARE en 4 couches</w:t>
        </w:r>
        <w:r>
          <w:rPr>
            <w:noProof/>
            <w:webHidden/>
          </w:rPr>
          <w:tab/>
        </w:r>
        <w:r>
          <w:rPr>
            <w:noProof/>
            <w:webHidden/>
          </w:rPr>
          <w:fldChar w:fldCharType="begin"/>
        </w:r>
        <w:r>
          <w:rPr>
            <w:noProof/>
            <w:webHidden/>
          </w:rPr>
          <w:instrText xml:space="preserve"> PAGEREF _Toc236489398 \h </w:instrText>
        </w:r>
        <w:r>
          <w:rPr>
            <w:noProof/>
            <w:webHidden/>
          </w:rPr>
        </w:r>
        <w:r>
          <w:rPr>
            <w:noProof/>
            <w:webHidden/>
          </w:rPr>
          <w:fldChar w:fldCharType="separate"/>
        </w:r>
        <w:r>
          <w:rPr>
            <w:noProof/>
            <w:webHidden/>
          </w:rPr>
          <w:t>11</w:t>
        </w:r>
        <w:r>
          <w:rPr>
            <w:noProof/>
            <w:webHidden/>
          </w:rPr>
          <w:fldChar w:fldCharType="end"/>
        </w:r>
      </w:hyperlink>
    </w:p>
    <w:p w14:paraId="6A373016" w14:textId="4AB69E09"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399" w:history="1">
        <w:r w:rsidRPr="009215B6">
          <w:rPr>
            <w:rStyle w:val="Hyperlink"/>
            <w:noProof/>
            <w:lang w:val="fr-FR"/>
          </w:rPr>
          <w:t>4.2 Multi-brouillons et versions</w:t>
        </w:r>
        <w:r>
          <w:rPr>
            <w:noProof/>
            <w:webHidden/>
          </w:rPr>
          <w:tab/>
        </w:r>
        <w:r>
          <w:rPr>
            <w:noProof/>
            <w:webHidden/>
          </w:rPr>
          <w:fldChar w:fldCharType="begin"/>
        </w:r>
        <w:r>
          <w:rPr>
            <w:noProof/>
            <w:webHidden/>
          </w:rPr>
          <w:instrText xml:space="preserve"> PAGEREF _Toc236489399 \h </w:instrText>
        </w:r>
        <w:r>
          <w:rPr>
            <w:noProof/>
            <w:webHidden/>
          </w:rPr>
        </w:r>
        <w:r>
          <w:rPr>
            <w:noProof/>
            <w:webHidden/>
          </w:rPr>
          <w:fldChar w:fldCharType="separate"/>
        </w:r>
        <w:r>
          <w:rPr>
            <w:noProof/>
            <w:webHidden/>
          </w:rPr>
          <w:t>11</w:t>
        </w:r>
        <w:r>
          <w:rPr>
            <w:noProof/>
            <w:webHidden/>
          </w:rPr>
          <w:fldChar w:fldCharType="end"/>
        </w:r>
      </w:hyperlink>
    </w:p>
    <w:p w14:paraId="623CB141" w14:textId="6B8E196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0" w:history="1">
        <w:r w:rsidRPr="009215B6">
          <w:rPr>
            <w:rStyle w:val="Hyperlink"/>
            <w:noProof/>
            <w:lang w:val="fr-FR"/>
          </w:rPr>
          <w:t>4.3 Attachement au document</w:t>
        </w:r>
        <w:r>
          <w:rPr>
            <w:noProof/>
            <w:webHidden/>
          </w:rPr>
          <w:tab/>
        </w:r>
        <w:r>
          <w:rPr>
            <w:noProof/>
            <w:webHidden/>
          </w:rPr>
          <w:fldChar w:fldCharType="begin"/>
        </w:r>
        <w:r>
          <w:rPr>
            <w:noProof/>
            <w:webHidden/>
          </w:rPr>
          <w:instrText xml:space="preserve"> PAGEREF _Toc236489400 \h </w:instrText>
        </w:r>
        <w:r>
          <w:rPr>
            <w:noProof/>
            <w:webHidden/>
          </w:rPr>
        </w:r>
        <w:r>
          <w:rPr>
            <w:noProof/>
            <w:webHidden/>
          </w:rPr>
          <w:fldChar w:fldCharType="separate"/>
        </w:r>
        <w:r>
          <w:rPr>
            <w:noProof/>
            <w:webHidden/>
          </w:rPr>
          <w:t>11</w:t>
        </w:r>
        <w:r>
          <w:rPr>
            <w:noProof/>
            <w:webHidden/>
          </w:rPr>
          <w:fldChar w:fldCharType="end"/>
        </w:r>
      </w:hyperlink>
    </w:p>
    <w:p w14:paraId="4D68EEB8" w14:textId="3F8F3A6B"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1" w:history="1">
        <w:r w:rsidRPr="009215B6">
          <w:rPr>
            <w:rStyle w:val="Hyperlink"/>
            <w:noProof/>
            <w:lang w:val="fr-FR"/>
          </w:rPr>
          <w:t>5. Structure du document vivant (base Markdown)</w:t>
        </w:r>
        <w:r>
          <w:rPr>
            <w:noProof/>
            <w:webHidden/>
          </w:rPr>
          <w:tab/>
        </w:r>
        <w:r>
          <w:rPr>
            <w:noProof/>
            <w:webHidden/>
          </w:rPr>
          <w:fldChar w:fldCharType="begin"/>
        </w:r>
        <w:r>
          <w:rPr>
            <w:noProof/>
            <w:webHidden/>
          </w:rPr>
          <w:instrText xml:space="preserve"> PAGEREF _Toc236489401 \h </w:instrText>
        </w:r>
        <w:r>
          <w:rPr>
            <w:noProof/>
            <w:webHidden/>
          </w:rPr>
        </w:r>
        <w:r>
          <w:rPr>
            <w:noProof/>
            <w:webHidden/>
          </w:rPr>
          <w:fldChar w:fldCharType="separate"/>
        </w:r>
        <w:r>
          <w:rPr>
            <w:noProof/>
            <w:webHidden/>
          </w:rPr>
          <w:t>12</w:t>
        </w:r>
        <w:r>
          <w:rPr>
            <w:noProof/>
            <w:webHidden/>
          </w:rPr>
          <w:fldChar w:fldCharType="end"/>
        </w:r>
      </w:hyperlink>
    </w:p>
    <w:p w14:paraId="4D9AD618" w14:textId="2B58C631"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2" w:history="1">
        <w:r w:rsidRPr="009215B6">
          <w:rPr>
            <w:rStyle w:val="Hyperlink"/>
            <w:noProof/>
            <w:lang w:val="fr-FR"/>
          </w:rPr>
          <w:t>5.1 Niveaux d’importance</w:t>
        </w:r>
        <w:r>
          <w:rPr>
            <w:noProof/>
            <w:webHidden/>
          </w:rPr>
          <w:tab/>
        </w:r>
        <w:r>
          <w:rPr>
            <w:noProof/>
            <w:webHidden/>
          </w:rPr>
          <w:fldChar w:fldCharType="begin"/>
        </w:r>
        <w:r>
          <w:rPr>
            <w:noProof/>
            <w:webHidden/>
          </w:rPr>
          <w:instrText xml:space="preserve"> PAGEREF _Toc236489402 \h </w:instrText>
        </w:r>
        <w:r>
          <w:rPr>
            <w:noProof/>
            <w:webHidden/>
          </w:rPr>
        </w:r>
        <w:r>
          <w:rPr>
            <w:noProof/>
            <w:webHidden/>
          </w:rPr>
          <w:fldChar w:fldCharType="separate"/>
        </w:r>
        <w:r>
          <w:rPr>
            <w:noProof/>
            <w:webHidden/>
          </w:rPr>
          <w:t>12</w:t>
        </w:r>
        <w:r>
          <w:rPr>
            <w:noProof/>
            <w:webHidden/>
          </w:rPr>
          <w:fldChar w:fldCharType="end"/>
        </w:r>
      </w:hyperlink>
    </w:p>
    <w:p w14:paraId="48143AF9" w14:textId="3DED64E3"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3" w:history="1">
        <w:r w:rsidRPr="009215B6">
          <w:rPr>
            <w:rStyle w:val="Hyperlink"/>
            <w:noProof/>
            <w:lang w:val="fr-FR"/>
          </w:rPr>
          <w:t>5.2 Zones de parking</w:t>
        </w:r>
        <w:r>
          <w:rPr>
            <w:noProof/>
            <w:webHidden/>
          </w:rPr>
          <w:tab/>
        </w:r>
        <w:r>
          <w:rPr>
            <w:noProof/>
            <w:webHidden/>
          </w:rPr>
          <w:fldChar w:fldCharType="begin"/>
        </w:r>
        <w:r>
          <w:rPr>
            <w:noProof/>
            <w:webHidden/>
          </w:rPr>
          <w:instrText xml:space="preserve"> PAGEREF _Toc236489403 \h </w:instrText>
        </w:r>
        <w:r>
          <w:rPr>
            <w:noProof/>
            <w:webHidden/>
          </w:rPr>
        </w:r>
        <w:r>
          <w:rPr>
            <w:noProof/>
            <w:webHidden/>
          </w:rPr>
          <w:fldChar w:fldCharType="separate"/>
        </w:r>
        <w:r>
          <w:rPr>
            <w:noProof/>
            <w:webHidden/>
          </w:rPr>
          <w:t>12</w:t>
        </w:r>
        <w:r>
          <w:rPr>
            <w:noProof/>
            <w:webHidden/>
          </w:rPr>
          <w:fldChar w:fldCharType="end"/>
        </w:r>
      </w:hyperlink>
    </w:p>
    <w:p w14:paraId="4B273DA5" w14:textId="6F6A1F13"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4" w:history="1">
        <w:r w:rsidRPr="009215B6">
          <w:rPr>
            <w:rStyle w:val="Hyperlink"/>
            <w:noProof/>
            <w:lang w:val="fr-FR"/>
          </w:rPr>
          <w:t>6. Parcours de qualification Sage</w:t>
        </w:r>
        <w:r>
          <w:rPr>
            <w:noProof/>
            <w:webHidden/>
          </w:rPr>
          <w:tab/>
        </w:r>
        <w:r>
          <w:rPr>
            <w:noProof/>
            <w:webHidden/>
          </w:rPr>
          <w:fldChar w:fldCharType="begin"/>
        </w:r>
        <w:r>
          <w:rPr>
            <w:noProof/>
            <w:webHidden/>
          </w:rPr>
          <w:instrText xml:space="preserve"> PAGEREF _Toc236489404 \h </w:instrText>
        </w:r>
        <w:r>
          <w:rPr>
            <w:noProof/>
            <w:webHidden/>
          </w:rPr>
        </w:r>
        <w:r>
          <w:rPr>
            <w:noProof/>
            <w:webHidden/>
          </w:rPr>
          <w:fldChar w:fldCharType="separate"/>
        </w:r>
        <w:r>
          <w:rPr>
            <w:noProof/>
            <w:webHidden/>
          </w:rPr>
          <w:t>12</w:t>
        </w:r>
        <w:r>
          <w:rPr>
            <w:noProof/>
            <w:webHidden/>
          </w:rPr>
          <w:fldChar w:fldCharType="end"/>
        </w:r>
      </w:hyperlink>
    </w:p>
    <w:p w14:paraId="3B74BEF4" w14:textId="39E87B7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5" w:history="1">
        <w:r w:rsidRPr="009215B6">
          <w:rPr>
            <w:rStyle w:val="Hyperlink"/>
            <w:noProof/>
            <w:lang w:val="fr-FR"/>
          </w:rPr>
          <w:t>7. Dossier de maturation TRL</w:t>
        </w:r>
        <w:r>
          <w:rPr>
            <w:noProof/>
            <w:webHidden/>
          </w:rPr>
          <w:tab/>
        </w:r>
        <w:r>
          <w:rPr>
            <w:noProof/>
            <w:webHidden/>
          </w:rPr>
          <w:fldChar w:fldCharType="begin"/>
        </w:r>
        <w:r>
          <w:rPr>
            <w:noProof/>
            <w:webHidden/>
          </w:rPr>
          <w:instrText xml:space="preserve"> PAGEREF _Toc236489405 \h </w:instrText>
        </w:r>
        <w:r>
          <w:rPr>
            <w:noProof/>
            <w:webHidden/>
          </w:rPr>
        </w:r>
        <w:r>
          <w:rPr>
            <w:noProof/>
            <w:webHidden/>
          </w:rPr>
          <w:fldChar w:fldCharType="separate"/>
        </w:r>
        <w:r>
          <w:rPr>
            <w:noProof/>
            <w:webHidden/>
          </w:rPr>
          <w:t>12</w:t>
        </w:r>
        <w:r>
          <w:rPr>
            <w:noProof/>
            <w:webHidden/>
          </w:rPr>
          <w:fldChar w:fldCharType="end"/>
        </w:r>
      </w:hyperlink>
    </w:p>
    <w:p w14:paraId="08CE7295" w14:textId="71AC5BBF"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6" w:history="1">
        <w:r w:rsidRPr="009215B6">
          <w:rPr>
            <w:rStyle w:val="Hyperlink"/>
            <w:noProof/>
            <w:lang w:val="fr-FR"/>
          </w:rPr>
          <w:t>8. Sécurité, 2FA et conformité RGPD</w:t>
        </w:r>
        <w:r>
          <w:rPr>
            <w:noProof/>
            <w:webHidden/>
          </w:rPr>
          <w:tab/>
        </w:r>
        <w:r>
          <w:rPr>
            <w:noProof/>
            <w:webHidden/>
          </w:rPr>
          <w:fldChar w:fldCharType="begin"/>
        </w:r>
        <w:r>
          <w:rPr>
            <w:noProof/>
            <w:webHidden/>
          </w:rPr>
          <w:instrText xml:space="preserve"> PAGEREF _Toc236489406 \h </w:instrText>
        </w:r>
        <w:r>
          <w:rPr>
            <w:noProof/>
            <w:webHidden/>
          </w:rPr>
        </w:r>
        <w:r>
          <w:rPr>
            <w:noProof/>
            <w:webHidden/>
          </w:rPr>
          <w:fldChar w:fldCharType="separate"/>
        </w:r>
        <w:r>
          <w:rPr>
            <w:noProof/>
            <w:webHidden/>
          </w:rPr>
          <w:t>12</w:t>
        </w:r>
        <w:r>
          <w:rPr>
            <w:noProof/>
            <w:webHidden/>
          </w:rPr>
          <w:fldChar w:fldCharType="end"/>
        </w:r>
      </w:hyperlink>
    </w:p>
    <w:p w14:paraId="730E6CBB" w14:textId="0BCEC37D"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7" w:history="1">
        <w:r w:rsidRPr="009215B6">
          <w:rPr>
            <w:rStyle w:val="Hyperlink"/>
            <w:noProof/>
            <w:lang w:val="fr-FR"/>
          </w:rPr>
          <w:t>9. Suggestions d’architecture technique (non prescriptives)</w:t>
        </w:r>
        <w:r>
          <w:rPr>
            <w:noProof/>
            <w:webHidden/>
          </w:rPr>
          <w:tab/>
        </w:r>
        <w:r>
          <w:rPr>
            <w:noProof/>
            <w:webHidden/>
          </w:rPr>
          <w:fldChar w:fldCharType="begin"/>
        </w:r>
        <w:r>
          <w:rPr>
            <w:noProof/>
            <w:webHidden/>
          </w:rPr>
          <w:instrText xml:space="preserve"> PAGEREF _Toc236489407 \h </w:instrText>
        </w:r>
        <w:r>
          <w:rPr>
            <w:noProof/>
            <w:webHidden/>
          </w:rPr>
        </w:r>
        <w:r>
          <w:rPr>
            <w:noProof/>
            <w:webHidden/>
          </w:rPr>
          <w:fldChar w:fldCharType="separate"/>
        </w:r>
        <w:r>
          <w:rPr>
            <w:noProof/>
            <w:webHidden/>
          </w:rPr>
          <w:t>12</w:t>
        </w:r>
        <w:r>
          <w:rPr>
            <w:noProof/>
            <w:webHidden/>
          </w:rPr>
          <w:fldChar w:fldCharType="end"/>
        </w:r>
      </w:hyperlink>
    </w:p>
    <w:p w14:paraId="0B6E4164" w14:textId="0716B455"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8" w:history="1">
        <w:r w:rsidRPr="009215B6">
          <w:rPr>
            <w:rStyle w:val="Hyperlink"/>
            <w:noProof/>
            <w:lang w:val="fr-FR"/>
          </w:rPr>
          <w:t>10. Prochaines étapes recommandées</w:t>
        </w:r>
        <w:r>
          <w:rPr>
            <w:noProof/>
            <w:webHidden/>
          </w:rPr>
          <w:tab/>
        </w:r>
        <w:r>
          <w:rPr>
            <w:noProof/>
            <w:webHidden/>
          </w:rPr>
          <w:fldChar w:fldCharType="begin"/>
        </w:r>
        <w:r>
          <w:rPr>
            <w:noProof/>
            <w:webHidden/>
          </w:rPr>
          <w:instrText xml:space="preserve"> PAGEREF _Toc236489408 \h </w:instrText>
        </w:r>
        <w:r>
          <w:rPr>
            <w:noProof/>
            <w:webHidden/>
          </w:rPr>
        </w:r>
        <w:r>
          <w:rPr>
            <w:noProof/>
            <w:webHidden/>
          </w:rPr>
          <w:fldChar w:fldCharType="separate"/>
        </w:r>
        <w:r>
          <w:rPr>
            <w:noProof/>
            <w:webHidden/>
          </w:rPr>
          <w:t>13</w:t>
        </w:r>
        <w:r>
          <w:rPr>
            <w:noProof/>
            <w:webHidden/>
          </w:rPr>
          <w:fldChar w:fldCharType="end"/>
        </w:r>
      </w:hyperlink>
    </w:p>
    <w:p w14:paraId="1FCF4BC2" w14:textId="595EFC5A"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09" w:history="1">
        <w:r w:rsidRPr="009215B6">
          <w:rPr>
            <w:rStyle w:val="Hyperlink"/>
            <w:rFonts w:ascii="Aptos" w:hAnsi="Aptos"/>
            <w:noProof/>
            <w:lang w:val="fr-FR"/>
          </w:rPr>
          <w:t>TRANSPARENCE ÉCONOMIQUE DE JAKARTA AGGLOMÉRATION</w:t>
        </w:r>
        <w:r>
          <w:rPr>
            <w:noProof/>
            <w:webHidden/>
          </w:rPr>
          <w:tab/>
        </w:r>
        <w:r>
          <w:rPr>
            <w:noProof/>
            <w:webHidden/>
          </w:rPr>
          <w:fldChar w:fldCharType="begin"/>
        </w:r>
        <w:r>
          <w:rPr>
            <w:noProof/>
            <w:webHidden/>
          </w:rPr>
          <w:instrText xml:space="preserve"> PAGEREF _Toc236489409 \h </w:instrText>
        </w:r>
        <w:r>
          <w:rPr>
            <w:noProof/>
            <w:webHidden/>
          </w:rPr>
        </w:r>
        <w:r>
          <w:rPr>
            <w:noProof/>
            <w:webHidden/>
          </w:rPr>
          <w:fldChar w:fldCharType="separate"/>
        </w:r>
        <w:r>
          <w:rPr>
            <w:noProof/>
            <w:webHidden/>
          </w:rPr>
          <w:t>14</w:t>
        </w:r>
        <w:r>
          <w:rPr>
            <w:noProof/>
            <w:webHidden/>
          </w:rPr>
          <w:fldChar w:fldCharType="end"/>
        </w:r>
      </w:hyperlink>
    </w:p>
    <w:p w14:paraId="6E9A0E51" w14:textId="2C10B3B4"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0" w:history="1">
        <w:r w:rsidRPr="009215B6">
          <w:rPr>
            <w:rStyle w:val="Hyperlink"/>
            <w:rFonts w:ascii="Aptos" w:hAnsi="Aptos"/>
            <w:noProof/>
            <w:lang w:val="fr-FR"/>
          </w:rPr>
          <w:t>Note méthodologique – Base de calcul affichée en en-tête</w:t>
        </w:r>
        <w:r>
          <w:rPr>
            <w:noProof/>
            <w:webHidden/>
          </w:rPr>
          <w:tab/>
        </w:r>
        <w:r>
          <w:rPr>
            <w:noProof/>
            <w:webHidden/>
          </w:rPr>
          <w:fldChar w:fldCharType="begin"/>
        </w:r>
        <w:r>
          <w:rPr>
            <w:noProof/>
            <w:webHidden/>
          </w:rPr>
          <w:instrText xml:space="preserve"> PAGEREF _Toc236489410 \h </w:instrText>
        </w:r>
        <w:r>
          <w:rPr>
            <w:noProof/>
            <w:webHidden/>
          </w:rPr>
        </w:r>
        <w:r>
          <w:rPr>
            <w:noProof/>
            <w:webHidden/>
          </w:rPr>
          <w:fldChar w:fldCharType="separate"/>
        </w:r>
        <w:r>
          <w:rPr>
            <w:noProof/>
            <w:webHidden/>
          </w:rPr>
          <w:t>14</w:t>
        </w:r>
        <w:r>
          <w:rPr>
            <w:noProof/>
            <w:webHidden/>
          </w:rPr>
          <w:fldChar w:fldCharType="end"/>
        </w:r>
      </w:hyperlink>
    </w:p>
    <w:p w14:paraId="27242626" w14:textId="578E0FD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1" w:history="1">
        <w:r w:rsidRPr="009215B6">
          <w:rPr>
            <w:rStyle w:val="Hyperlink"/>
            <w:rFonts w:ascii="Aptos" w:hAnsi="Aptos"/>
            <w:noProof/>
            <w:lang w:val="fr-FR"/>
          </w:rPr>
          <w:t>1. Population de référence – Jakarta Agglomération</w:t>
        </w:r>
        <w:r>
          <w:rPr>
            <w:noProof/>
            <w:webHidden/>
          </w:rPr>
          <w:tab/>
        </w:r>
        <w:r>
          <w:rPr>
            <w:noProof/>
            <w:webHidden/>
          </w:rPr>
          <w:fldChar w:fldCharType="begin"/>
        </w:r>
        <w:r>
          <w:rPr>
            <w:noProof/>
            <w:webHidden/>
          </w:rPr>
          <w:instrText xml:space="preserve"> PAGEREF _Toc236489411 \h </w:instrText>
        </w:r>
        <w:r>
          <w:rPr>
            <w:noProof/>
            <w:webHidden/>
          </w:rPr>
        </w:r>
        <w:r>
          <w:rPr>
            <w:noProof/>
            <w:webHidden/>
          </w:rPr>
          <w:fldChar w:fldCharType="separate"/>
        </w:r>
        <w:r>
          <w:rPr>
            <w:noProof/>
            <w:webHidden/>
          </w:rPr>
          <w:t>14</w:t>
        </w:r>
        <w:r>
          <w:rPr>
            <w:noProof/>
            <w:webHidden/>
          </w:rPr>
          <w:fldChar w:fldCharType="end"/>
        </w:r>
      </w:hyperlink>
    </w:p>
    <w:p w14:paraId="30D848DC" w14:textId="28A2C40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2" w:history="1">
        <w:r w:rsidRPr="009215B6">
          <w:rPr>
            <w:rStyle w:val="Hyperlink"/>
            <w:rFonts w:ascii="Aptos" w:hAnsi="Aptos"/>
            <w:noProof/>
            <w:lang w:val="fr-FR"/>
          </w:rPr>
          <w:t>2. Principe de base du modèle</w:t>
        </w:r>
        <w:r>
          <w:rPr>
            <w:noProof/>
            <w:webHidden/>
          </w:rPr>
          <w:tab/>
        </w:r>
        <w:r>
          <w:rPr>
            <w:noProof/>
            <w:webHidden/>
          </w:rPr>
          <w:fldChar w:fldCharType="begin"/>
        </w:r>
        <w:r>
          <w:rPr>
            <w:noProof/>
            <w:webHidden/>
          </w:rPr>
          <w:instrText xml:space="preserve"> PAGEREF _Toc236489412 \h </w:instrText>
        </w:r>
        <w:r>
          <w:rPr>
            <w:noProof/>
            <w:webHidden/>
          </w:rPr>
        </w:r>
        <w:r>
          <w:rPr>
            <w:noProof/>
            <w:webHidden/>
          </w:rPr>
          <w:fldChar w:fldCharType="separate"/>
        </w:r>
        <w:r>
          <w:rPr>
            <w:noProof/>
            <w:webHidden/>
          </w:rPr>
          <w:t>14</w:t>
        </w:r>
        <w:r>
          <w:rPr>
            <w:noProof/>
            <w:webHidden/>
          </w:rPr>
          <w:fldChar w:fldCharType="end"/>
        </w:r>
      </w:hyperlink>
    </w:p>
    <w:p w14:paraId="746FFD94" w14:textId="488ABD9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3" w:history="1">
        <w:r w:rsidRPr="009215B6">
          <w:rPr>
            <w:rStyle w:val="Hyperlink"/>
            <w:rFonts w:ascii="Aptos" w:hAnsi="Aptos"/>
            <w:noProof/>
            <w:lang w:val="fr-FR"/>
          </w:rPr>
          <w:t>3. Chapitre 1 – Le 1,00 € local (Impôts de DKI Jakarta)</w:t>
        </w:r>
        <w:r>
          <w:rPr>
            <w:noProof/>
            <w:webHidden/>
          </w:rPr>
          <w:tab/>
        </w:r>
        <w:r>
          <w:rPr>
            <w:noProof/>
            <w:webHidden/>
          </w:rPr>
          <w:fldChar w:fldCharType="begin"/>
        </w:r>
        <w:r>
          <w:rPr>
            <w:noProof/>
            <w:webHidden/>
          </w:rPr>
          <w:instrText xml:space="preserve"> PAGEREF _Toc236489413 \h </w:instrText>
        </w:r>
        <w:r>
          <w:rPr>
            <w:noProof/>
            <w:webHidden/>
          </w:rPr>
        </w:r>
        <w:r>
          <w:rPr>
            <w:noProof/>
            <w:webHidden/>
          </w:rPr>
          <w:fldChar w:fldCharType="separate"/>
        </w:r>
        <w:r>
          <w:rPr>
            <w:noProof/>
            <w:webHidden/>
          </w:rPr>
          <w:t>14</w:t>
        </w:r>
        <w:r>
          <w:rPr>
            <w:noProof/>
            <w:webHidden/>
          </w:rPr>
          <w:fldChar w:fldCharType="end"/>
        </w:r>
      </w:hyperlink>
    </w:p>
    <w:p w14:paraId="076018EB" w14:textId="5030017C"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4" w:history="1">
        <w:r w:rsidRPr="009215B6">
          <w:rPr>
            <w:rStyle w:val="Hyperlink"/>
            <w:rFonts w:ascii="Aptos" w:hAnsi="Aptos"/>
            <w:noProof/>
            <w:lang w:val="fr-FR"/>
          </w:rPr>
          <w:t>4. Chapitre 2 – Part des budgets publics nationaux (échelle Agglomération ≈ 41,9 M)</w:t>
        </w:r>
        <w:r>
          <w:rPr>
            <w:noProof/>
            <w:webHidden/>
          </w:rPr>
          <w:tab/>
        </w:r>
        <w:r>
          <w:rPr>
            <w:noProof/>
            <w:webHidden/>
          </w:rPr>
          <w:fldChar w:fldCharType="begin"/>
        </w:r>
        <w:r>
          <w:rPr>
            <w:noProof/>
            <w:webHidden/>
          </w:rPr>
          <w:instrText xml:space="preserve"> PAGEREF _Toc236489414 \h </w:instrText>
        </w:r>
        <w:r>
          <w:rPr>
            <w:noProof/>
            <w:webHidden/>
          </w:rPr>
        </w:r>
        <w:r>
          <w:rPr>
            <w:noProof/>
            <w:webHidden/>
          </w:rPr>
          <w:fldChar w:fldCharType="separate"/>
        </w:r>
        <w:r>
          <w:rPr>
            <w:noProof/>
            <w:webHidden/>
          </w:rPr>
          <w:t>15</w:t>
        </w:r>
        <w:r>
          <w:rPr>
            <w:noProof/>
            <w:webHidden/>
          </w:rPr>
          <w:fldChar w:fldCharType="end"/>
        </w:r>
      </w:hyperlink>
    </w:p>
    <w:p w14:paraId="0CA8B67B" w14:textId="4547760B"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5" w:history="1">
        <w:r w:rsidRPr="009215B6">
          <w:rPr>
            <w:rStyle w:val="Hyperlink"/>
            <w:rFonts w:ascii="Aptos" w:hAnsi="Aptos"/>
            <w:noProof/>
            <w:lang w:val="fr-FR"/>
          </w:rPr>
          <w:t>5. Chapitre 3 – Dépenses privées des ménages (échelle Agglomération)</w:t>
        </w:r>
        <w:r>
          <w:rPr>
            <w:noProof/>
            <w:webHidden/>
          </w:rPr>
          <w:tab/>
        </w:r>
        <w:r>
          <w:rPr>
            <w:noProof/>
            <w:webHidden/>
          </w:rPr>
          <w:fldChar w:fldCharType="begin"/>
        </w:r>
        <w:r>
          <w:rPr>
            <w:noProof/>
            <w:webHidden/>
          </w:rPr>
          <w:instrText xml:space="preserve"> PAGEREF _Toc236489415 \h </w:instrText>
        </w:r>
        <w:r>
          <w:rPr>
            <w:noProof/>
            <w:webHidden/>
          </w:rPr>
        </w:r>
        <w:r>
          <w:rPr>
            <w:noProof/>
            <w:webHidden/>
          </w:rPr>
          <w:fldChar w:fldCharType="separate"/>
        </w:r>
        <w:r>
          <w:rPr>
            <w:noProof/>
            <w:webHidden/>
          </w:rPr>
          <w:t>15</w:t>
        </w:r>
        <w:r>
          <w:rPr>
            <w:noProof/>
            <w:webHidden/>
          </w:rPr>
          <w:fldChar w:fldCharType="end"/>
        </w:r>
      </w:hyperlink>
    </w:p>
    <w:p w14:paraId="3F6D4E9F" w14:textId="46065D9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6" w:history="1">
        <w:r w:rsidRPr="009215B6">
          <w:rPr>
            <w:rStyle w:val="Hyperlink"/>
            <w:rFonts w:ascii="Aptos" w:hAnsi="Aptos"/>
            <w:noProof/>
            <w:lang w:val="fr-FR"/>
          </w:rPr>
          <w:t>6. Synthèse des trois composantes – Base Jakarta Agglomération (≈ 41,9 M)</w:t>
        </w:r>
        <w:r>
          <w:rPr>
            <w:noProof/>
            <w:webHidden/>
          </w:rPr>
          <w:tab/>
        </w:r>
        <w:r>
          <w:rPr>
            <w:noProof/>
            <w:webHidden/>
          </w:rPr>
          <w:fldChar w:fldCharType="begin"/>
        </w:r>
        <w:r>
          <w:rPr>
            <w:noProof/>
            <w:webHidden/>
          </w:rPr>
          <w:instrText xml:space="preserve"> PAGEREF _Toc236489416 \h </w:instrText>
        </w:r>
        <w:r>
          <w:rPr>
            <w:noProof/>
            <w:webHidden/>
          </w:rPr>
        </w:r>
        <w:r>
          <w:rPr>
            <w:noProof/>
            <w:webHidden/>
          </w:rPr>
          <w:fldChar w:fldCharType="separate"/>
        </w:r>
        <w:r>
          <w:rPr>
            <w:noProof/>
            <w:webHidden/>
          </w:rPr>
          <w:t>15</w:t>
        </w:r>
        <w:r>
          <w:rPr>
            <w:noProof/>
            <w:webHidden/>
          </w:rPr>
          <w:fldChar w:fldCharType="end"/>
        </w:r>
      </w:hyperlink>
    </w:p>
    <w:p w14:paraId="5F6DFD9B" w14:textId="6FE295CF"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7" w:history="1">
        <w:r w:rsidRPr="009215B6">
          <w:rPr>
            <w:rStyle w:val="Hyperlink"/>
            <w:rFonts w:ascii="Aptos" w:hAnsi="Aptos"/>
            <w:noProof/>
            <w:lang w:val="fr-FR"/>
          </w:rPr>
          <w:t>7. Lien avec l’énergie, le froid et les émissions</w:t>
        </w:r>
        <w:r>
          <w:rPr>
            <w:noProof/>
            <w:webHidden/>
          </w:rPr>
          <w:tab/>
        </w:r>
        <w:r>
          <w:rPr>
            <w:noProof/>
            <w:webHidden/>
          </w:rPr>
          <w:fldChar w:fldCharType="begin"/>
        </w:r>
        <w:r>
          <w:rPr>
            <w:noProof/>
            <w:webHidden/>
          </w:rPr>
          <w:instrText xml:space="preserve"> PAGEREF _Toc236489417 \h </w:instrText>
        </w:r>
        <w:r>
          <w:rPr>
            <w:noProof/>
            <w:webHidden/>
          </w:rPr>
        </w:r>
        <w:r>
          <w:rPr>
            <w:noProof/>
            <w:webHidden/>
          </w:rPr>
          <w:fldChar w:fldCharType="separate"/>
        </w:r>
        <w:r>
          <w:rPr>
            <w:noProof/>
            <w:webHidden/>
          </w:rPr>
          <w:t>15</w:t>
        </w:r>
        <w:r>
          <w:rPr>
            <w:noProof/>
            <w:webHidden/>
          </w:rPr>
          <w:fldChar w:fldCharType="end"/>
        </w:r>
      </w:hyperlink>
    </w:p>
    <w:p w14:paraId="19A706F7" w14:textId="4DDA1983"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8" w:history="1">
        <w:r w:rsidRPr="009215B6">
          <w:rPr>
            <w:rStyle w:val="Hyperlink"/>
            <w:rFonts w:ascii="Aptos" w:hAnsi="Aptos"/>
            <w:noProof/>
            <w:lang w:val="fr-FR"/>
          </w:rPr>
          <w:t>8. Conclusion</w:t>
        </w:r>
        <w:r>
          <w:rPr>
            <w:noProof/>
            <w:webHidden/>
          </w:rPr>
          <w:tab/>
        </w:r>
        <w:r>
          <w:rPr>
            <w:noProof/>
            <w:webHidden/>
          </w:rPr>
          <w:fldChar w:fldCharType="begin"/>
        </w:r>
        <w:r>
          <w:rPr>
            <w:noProof/>
            <w:webHidden/>
          </w:rPr>
          <w:instrText xml:space="preserve"> PAGEREF _Toc236489418 \h </w:instrText>
        </w:r>
        <w:r>
          <w:rPr>
            <w:noProof/>
            <w:webHidden/>
          </w:rPr>
        </w:r>
        <w:r>
          <w:rPr>
            <w:noProof/>
            <w:webHidden/>
          </w:rPr>
          <w:fldChar w:fldCharType="separate"/>
        </w:r>
        <w:r>
          <w:rPr>
            <w:noProof/>
            <w:webHidden/>
          </w:rPr>
          <w:t>16</w:t>
        </w:r>
        <w:r>
          <w:rPr>
            <w:noProof/>
            <w:webHidden/>
          </w:rPr>
          <w:fldChar w:fldCharType="end"/>
        </w:r>
      </w:hyperlink>
    </w:p>
    <w:p w14:paraId="37C2FB89" w14:textId="1282CD49"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19" w:history="1">
        <w:r w:rsidRPr="009215B6">
          <w:rPr>
            <w:rStyle w:val="Hyperlink"/>
            <w:rFonts w:ascii="Aptos" w:hAnsi="Aptos"/>
            <w:noProof/>
            <w:lang w:val="fr-FR"/>
          </w:rPr>
          <w:t>ANNEXE A</w:t>
        </w:r>
        <w:r>
          <w:rPr>
            <w:noProof/>
            <w:webHidden/>
          </w:rPr>
          <w:tab/>
        </w:r>
        <w:r>
          <w:rPr>
            <w:noProof/>
            <w:webHidden/>
          </w:rPr>
          <w:fldChar w:fldCharType="begin"/>
        </w:r>
        <w:r>
          <w:rPr>
            <w:noProof/>
            <w:webHidden/>
          </w:rPr>
          <w:instrText xml:space="preserve"> PAGEREF _Toc236489419 \h </w:instrText>
        </w:r>
        <w:r>
          <w:rPr>
            <w:noProof/>
            <w:webHidden/>
          </w:rPr>
        </w:r>
        <w:r>
          <w:rPr>
            <w:noProof/>
            <w:webHidden/>
          </w:rPr>
          <w:fldChar w:fldCharType="separate"/>
        </w:r>
        <w:r>
          <w:rPr>
            <w:noProof/>
            <w:webHidden/>
          </w:rPr>
          <w:t>17</w:t>
        </w:r>
        <w:r>
          <w:rPr>
            <w:noProof/>
            <w:webHidden/>
          </w:rPr>
          <w:fldChar w:fldCharType="end"/>
        </w:r>
      </w:hyperlink>
    </w:p>
    <w:p w14:paraId="4E388D63" w14:textId="01F31538"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0" w:history="1">
        <w:r w:rsidRPr="009215B6">
          <w:rPr>
            <w:rStyle w:val="Hyperlink"/>
            <w:rFonts w:ascii="Aptos" w:hAnsi="Aptos"/>
            <w:noProof/>
            <w:lang w:val="fr-FR"/>
          </w:rPr>
          <w:t>ANNEXE B</w:t>
        </w:r>
        <w:r>
          <w:rPr>
            <w:noProof/>
            <w:webHidden/>
          </w:rPr>
          <w:tab/>
        </w:r>
        <w:r>
          <w:rPr>
            <w:noProof/>
            <w:webHidden/>
          </w:rPr>
          <w:fldChar w:fldCharType="begin"/>
        </w:r>
        <w:r>
          <w:rPr>
            <w:noProof/>
            <w:webHidden/>
          </w:rPr>
          <w:instrText xml:space="preserve"> PAGEREF _Toc236489420 \h </w:instrText>
        </w:r>
        <w:r>
          <w:rPr>
            <w:noProof/>
            <w:webHidden/>
          </w:rPr>
        </w:r>
        <w:r>
          <w:rPr>
            <w:noProof/>
            <w:webHidden/>
          </w:rPr>
          <w:fldChar w:fldCharType="separate"/>
        </w:r>
        <w:r>
          <w:rPr>
            <w:noProof/>
            <w:webHidden/>
          </w:rPr>
          <w:t>20</w:t>
        </w:r>
        <w:r>
          <w:rPr>
            <w:noProof/>
            <w:webHidden/>
          </w:rPr>
          <w:fldChar w:fldCharType="end"/>
        </w:r>
      </w:hyperlink>
    </w:p>
    <w:p w14:paraId="6A94E7E7" w14:textId="3B1DD32A"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1" w:history="1">
        <w:r w:rsidRPr="009215B6">
          <w:rPr>
            <w:rStyle w:val="Hyperlink"/>
            <w:rFonts w:ascii="Aptos" w:hAnsi="Aptos"/>
            <w:noProof/>
            <w:lang w:val="fr-FR"/>
          </w:rPr>
          <w:t>Index Jakarta agglomération</w:t>
        </w:r>
        <w:r>
          <w:rPr>
            <w:noProof/>
            <w:webHidden/>
          </w:rPr>
          <w:tab/>
        </w:r>
        <w:r>
          <w:rPr>
            <w:noProof/>
            <w:webHidden/>
          </w:rPr>
          <w:fldChar w:fldCharType="begin"/>
        </w:r>
        <w:r>
          <w:rPr>
            <w:noProof/>
            <w:webHidden/>
          </w:rPr>
          <w:instrText xml:space="preserve"> PAGEREF _Toc236489421 \h </w:instrText>
        </w:r>
        <w:r>
          <w:rPr>
            <w:noProof/>
            <w:webHidden/>
          </w:rPr>
        </w:r>
        <w:r>
          <w:rPr>
            <w:noProof/>
            <w:webHidden/>
          </w:rPr>
          <w:fldChar w:fldCharType="separate"/>
        </w:r>
        <w:r>
          <w:rPr>
            <w:noProof/>
            <w:webHidden/>
          </w:rPr>
          <w:t>23</w:t>
        </w:r>
        <w:r>
          <w:rPr>
            <w:noProof/>
            <w:webHidden/>
          </w:rPr>
          <w:fldChar w:fldCharType="end"/>
        </w:r>
      </w:hyperlink>
    </w:p>
    <w:p w14:paraId="6D917A0F" w14:textId="23FCB508" w:rsidR="009E5F8A" w:rsidRDefault="009E5F8A">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236489422" w:history="1">
        <w:r w:rsidRPr="009215B6">
          <w:rPr>
            <w:rStyle w:val="Hyperlink"/>
            <w:noProof/>
            <w:lang w:val="fr-FR"/>
          </w:rPr>
          <w:t>NUSANTARA (IKN) – AGGLOMÉRATION EN CONSTRUCTION</w:t>
        </w:r>
        <w:r>
          <w:rPr>
            <w:noProof/>
            <w:webHidden/>
          </w:rPr>
          <w:tab/>
        </w:r>
        <w:r>
          <w:rPr>
            <w:noProof/>
            <w:webHidden/>
          </w:rPr>
          <w:fldChar w:fldCharType="begin"/>
        </w:r>
        <w:r>
          <w:rPr>
            <w:noProof/>
            <w:webHidden/>
          </w:rPr>
          <w:instrText xml:space="preserve"> PAGEREF _Toc236489422 \h </w:instrText>
        </w:r>
        <w:r>
          <w:rPr>
            <w:noProof/>
            <w:webHidden/>
          </w:rPr>
        </w:r>
        <w:r>
          <w:rPr>
            <w:noProof/>
            <w:webHidden/>
          </w:rPr>
          <w:fldChar w:fldCharType="separate"/>
        </w:r>
        <w:r>
          <w:rPr>
            <w:noProof/>
            <w:webHidden/>
          </w:rPr>
          <w:t>25</w:t>
        </w:r>
        <w:r>
          <w:rPr>
            <w:noProof/>
            <w:webHidden/>
          </w:rPr>
          <w:fldChar w:fldCharType="end"/>
        </w:r>
      </w:hyperlink>
    </w:p>
    <w:p w14:paraId="010475EF" w14:textId="624DCA1D"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3" w:history="1">
        <w:r w:rsidRPr="009215B6">
          <w:rPr>
            <w:rStyle w:val="Hyperlink"/>
            <w:noProof/>
            <w:lang w:val="fr-FR"/>
          </w:rPr>
          <w:t>CHAPITRE 0 – INTRODUCTION ET AMPLEURS COMPARÉES</w:t>
        </w:r>
        <w:r>
          <w:rPr>
            <w:noProof/>
            <w:webHidden/>
          </w:rPr>
          <w:tab/>
        </w:r>
        <w:r>
          <w:rPr>
            <w:noProof/>
            <w:webHidden/>
          </w:rPr>
          <w:fldChar w:fldCharType="begin"/>
        </w:r>
        <w:r>
          <w:rPr>
            <w:noProof/>
            <w:webHidden/>
          </w:rPr>
          <w:instrText xml:space="preserve"> PAGEREF _Toc236489423 \h </w:instrText>
        </w:r>
        <w:r>
          <w:rPr>
            <w:noProof/>
            <w:webHidden/>
          </w:rPr>
        </w:r>
        <w:r>
          <w:rPr>
            <w:noProof/>
            <w:webHidden/>
          </w:rPr>
          <w:fldChar w:fldCharType="separate"/>
        </w:r>
        <w:r>
          <w:rPr>
            <w:noProof/>
            <w:webHidden/>
          </w:rPr>
          <w:t>25</w:t>
        </w:r>
        <w:r>
          <w:rPr>
            <w:noProof/>
            <w:webHidden/>
          </w:rPr>
          <w:fldChar w:fldCharType="end"/>
        </w:r>
      </w:hyperlink>
    </w:p>
    <w:p w14:paraId="232CF544" w14:textId="528B8692"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4" w:history="1">
        <w:r w:rsidRPr="009215B6">
          <w:rPr>
            <w:rStyle w:val="Hyperlink"/>
            <w:noProof/>
            <w:lang w:val="fr-FR"/>
          </w:rPr>
          <w:t>1. Population de référence – Nusantara 2026</w:t>
        </w:r>
        <w:r>
          <w:rPr>
            <w:noProof/>
            <w:webHidden/>
          </w:rPr>
          <w:tab/>
        </w:r>
        <w:r>
          <w:rPr>
            <w:noProof/>
            <w:webHidden/>
          </w:rPr>
          <w:fldChar w:fldCharType="begin"/>
        </w:r>
        <w:r>
          <w:rPr>
            <w:noProof/>
            <w:webHidden/>
          </w:rPr>
          <w:instrText xml:space="preserve"> PAGEREF _Toc236489424 \h </w:instrText>
        </w:r>
        <w:r>
          <w:rPr>
            <w:noProof/>
            <w:webHidden/>
          </w:rPr>
        </w:r>
        <w:r>
          <w:rPr>
            <w:noProof/>
            <w:webHidden/>
          </w:rPr>
          <w:fldChar w:fldCharType="separate"/>
        </w:r>
        <w:r>
          <w:rPr>
            <w:noProof/>
            <w:webHidden/>
          </w:rPr>
          <w:t>26</w:t>
        </w:r>
        <w:r>
          <w:rPr>
            <w:noProof/>
            <w:webHidden/>
          </w:rPr>
          <w:fldChar w:fldCharType="end"/>
        </w:r>
      </w:hyperlink>
    </w:p>
    <w:p w14:paraId="0ECA0853" w14:textId="6A35ADA8"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5" w:history="1">
        <w:r w:rsidRPr="009215B6">
          <w:rPr>
            <w:rStyle w:val="Hyperlink"/>
            <w:noProof/>
            <w:lang w:val="fr-FR"/>
          </w:rPr>
          <w:t>2. Principe de base du modèle financier</w:t>
        </w:r>
        <w:r>
          <w:rPr>
            <w:noProof/>
            <w:webHidden/>
          </w:rPr>
          <w:tab/>
        </w:r>
        <w:r>
          <w:rPr>
            <w:noProof/>
            <w:webHidden/>
          </w:rPr>
          <w:fldChar w:fldCharType="begin"/>
        </w:r>
        <w:r>
          <w:rPr>
            <w:noProof/>
            <w:webHidden/>
          </w:rPr>
          <w:instrText xml:space="preserve"> PAGEREF _Toc236489425 \h </w:instrText>
        </w:r>
        <w:r>
          <w:rPr>
            <w:noProof/>
            <w:webHidden/>
          </w:rPr>
        </w:r>
        <w:r>
          <w:rPr>
            <w:noProof/>
            <w:webHidden/>
          </w:rPr>
          <w:fldChar w:fldCharType="separate"/>
        </w:r>
        <w:r>
          <w:rPr>
            <w:noProof/>
            <w:webHidden/>
          </w:rPr>
          <w:t>26</w:t>
        </w:r>
        <w:r>
          <w:rPr>
            <w:noProof/>
            <w:webHidden/>
          </w:rPr>
          <w:fldChar w:fldCharType="end"/>
        </w:r>
      </w:hyperlink>
    </w:p>
    <w:p w14:paraId="77AE163A" w14:textId="39C525E0"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6" w:history="1">
        <w:r w:rsidRPr="009215B6">
          <w:rPr>
            <w:rStyle w:val="Hyperlink"/>
            <w:noProof/>
            <w:lang w:val="fr-FR"/>
          </w:rPr>
          <w:t>3. Chapitre 1 – Le 1,00 € local (situation réelle 2026)</w:t>
        </w:r>
        <w:r>
          <w:rPr>
            <w:noProof/>
            <w:webHidden/>
          </w:rPr>
          <w:tab/>
        </w:r>
        <w:r>
          <w:rPr>
            <w:noProof/>
            <w:webHidden/>
          </w:rPr>
          <w:fldChar w:fldCharType="begin"/>
        </w:r>
        <w:r>
          <w:rPr>
            <w:noProof/>
            <w:webHidden/>
          </w:rPr>
          <w:instrText xml:space="preserve"> PAGEREF _Toc236489426 \h </w:instrText>
        </w:r>
        <w:r>
          <w:rPr>
            <w:noProof/>
            <w:webHidden/>
          </w:rPr>
        </w:r>
        <w:r>
          <w:rPr>
            <w:noProof/>
            <w:webHidden/>
          </w:rPr>
          <w:fldChar w:fldCharType="separate"/>
        </w:r>
        <w:r>
          <w:rPr>
            <w:noProof/>
            <w:webHidden/>
          </w:rPr>
          <w:t>26</w:t>
        </w:r>
        <w:r>
          <w:rPr>
            <w:noProof/>
            <w:webHidden/>
          </w:rPr>
          <w:fldChar w:fldCharType="end"/>
        </w:r>
      </w:hyperlink>
    </w:p>
    <w:p w14:paraId="6C97AEDC" w14:textId="61C3DD97"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7" w:history="1">
        <w:r w:rsidRPr="009215B6">
          <w:rPr>
            <w:rStyle w:val="Hyperlink"/>
            <w:noProof/>
            <w:lang w:val="fr-FR"/>
          </w:rPr>
          <w:t>4. Chapitre 2 – Investissements et dépenses de l’État central</w:t>
        </w:r>
        <w:r>
          <w:rPr>
            <w:noProof/>
            <w:webHidden/>
          </w:rPr>
          <w:tab/>
        </w:r>
        <w:r>
          <w:rPr>
            <w:noProof/>
            <w:webHidden/>
          </w:rPr>
          <w:fldChar w:fldCharType="begin"/>
        </w:r>
        <w:r>
          <w:rPr>
            <w:noProof/>
            <w:webHidden/>
          </w:rPr>
          <w:instrText xml:space="preserve"> PAGEREF _Toc236489427 \h </w:instrText>
        </w:r>
        <w:r>
          <w:rPr>
            <w:noProof/>
            <w:webHidden/>
          </w:rPr>
        </w:r>
        <w:r>
          <w:rPr>
            <w:noProof/>
            <w:webHidden/>
          </w:rPr>
          <w:fldChar w:fldCharType="separate"/>
        </w:r>
        <w:r>
          <w:rPr>
            <w:noProof/>
            <w:webHidden/>
          </w:rPr>
          <w:t>26</w:t>
        </w:r>
        <w:r>
          <w:rPr>
            <w:noProof/>
            <w:webHidden/>
          </w:rPr>
          <w:fldChar w:fldCharType="end"/>
        </w:r>
      </w:hyperlink>
    </w:p>
    <w:p w14:paraId="121C12DA" w14:textId="7E8ACDA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8" w:history="1">
        <w:r w:rsidRPr="009215B6">
          <w:rPr>
            <w:rStyle w:val="Hyperlink"/>
            <w:noProof/>
            <w:lang w:val="fr-FR"/>
          </w:rPr>
          <w:t>5. Chapitre 3 – Dépenses des habitants et activité privée</w:t>
        </w:r>
        <w:r>
          <w:rPr>
            <w:noProof/>
            <w:webHidden/>
          </w:rPr>
          <w:tab/>
        </w:r>
        <w:r>
          <w:rPr>
            <w:noProof/>
            <w:webHidden/>
          </w:rPr>
          <w:fldChar w:fldCharType="begin"/>
        </w:r>
        <w:r>
          <w:rPr>
            <w:noProof/>
            <w:webHidden/>
          </w:rPr>
          <w:instrText xml:space="preserve"> PAGEREF _Toc236489428 \h </w:instrText>
        </w:r>
        <w:r>
          <w:rPr>
            <w:noProof/>
            <w:webHidden/>
          </w:rPr>
        </w:r>
        <w:r>
          <w:rPr>
            <w:noProof/>
            <w:webHidden/>
          </w:rPr>
          <w:fldChar w:fldCharType="separate"/>
        </w:r>
        <w:r>
          <w:rPr>
            <w:noProof/>
            <w:webHidden/>
          </w:rPr>
          <w:t>27</w:t>
        </w:r>
        <w:r>
          <w:rPr>
            <w:noProof/>
            <w:webHidden/>
          </w:rPr>
          <w:fldChar w:fldCharType="end"/>
        </w:r>
      </w:hyperlink>
    </w:p>
    <w:p w14:paraId="5A0C0272" w14:textId="41C64C54"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29" w:history="1">
        <w:r w:rsidRPr="009215B6">
          <w:rPr>
            <w:rStyle w:val="Hyperlink"/>
            <w:noProof/>
            <w:lang w:val="fr-FR"/>
          </w:rPr>
          <w:t>6. Synthèse financière 2026 – Nusantara</w:t>
        </w:r>
        <w:r>
          <w:rPr>
            <w:noProof/>
            <w:webHidden/>
          </w:rPr>
          <w:tab/>
        </w:r>
        <w:r>
          <w:rPr>
            <w:noProof/>
            <w:webHidden/>
          </w:rPr>
          <w:fldChar w:fldCharType="begin"/>
        </w:r>
        <w:r>
          <w:rPr>
            <w:noProof/>
            <w:webHidden/>
          </w:rPr>
          <w:instrText xml:space="preserve"> PAGEREF _Toc236489429 \h </w:instrText>
        </w:r>
        <w:r>
          <w:rPr>
            <w:noProof/>
            <w:webHidden/>
          </w:rPr>
        </w:r>
        <w:r>
          <w:rPr>
            <w:noProof/>
            <w:webHidden/>
          </w:rPr>
          <w:fldChar w:fldCharType="separate"/>
        </w:r>
        <w:r>
          <w:rPr>
            <w:noProof/>
            <w:webHidden/>
          </w:rPr>
          <w:t>27</w:t>
        </w:r>
        <w:r>
          <w:rPr>
            <w:noProof/>
            <w:webHidden/>
          </w:rPr>
          <w:fldChar w:fldCharType="end"/>
        </w:r>
      </w:hyperlink>
    </w:p>
    <w:p w14:paraId="19C6B3AC" w14:textId="759E1511"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30" w:history="1">
        <w:r w:rsidRPr="009215B6">
          <w:rPr>
            <w:rStyle w:val="Hyperlink"/>
            <w:noProof/>
            <w:lang w:val="fr-FR"/>
          </w:rPr>
          <w:t>Annexe A – Bilan carbone (Nusantara 2026)</w:t>
        </w:r>
        <w:r>
          <w:rPr>
            <w:noProof/>
            <w:webHidden/>
          </w:rPr>
          <w:tab/>
        </w:r>
        <w:r>
          <w:rPr>
            <w:noProof/>
            <w:webHidden/>
          </w:rPr>
          <w:fldChar w:fldCharType="begin"/>
        </w:r>
        <w:r>
          <w:rPr>
            <w:noProof/>
            <w:webHidden/>
          </w:rPr>
          <w:instrText xml:space="preserve"> PAGEREF _Toc236489430 \h </w:instrText>
        </w:r>
        <w:r>
          <w:rPr>
            <w:noProof/>
            <w:webHidden/>
          </w:rPr>
        </w:r>
        <w:r>
          <w:rPr>
            <w:noProof/>
            <w:webHidden/>
          </w:rPr>
          <w:fldChar w:fldCharType="separate"/>
        </w:r>
        <w:r>
          <w:rPr>
            <w:noProof/>
            <w:webHidden/>
          </w:rPr>
          <w:t>27</w:t>
        </w:r>
        <w:r>
          <w:rPr>
            <w:noProof/>
            <w:webHidden/>
          </w:rPr>
          <w:fldChar w:fldCharType="end"/>
        </w:r>
      </w:hyperlink>
    </w:p>
    <w:p w14:paraId="76E7824E" w14:textId="792B6858" w:rsidR="009E5F8A" w:rsidRDefault="009E5F8A">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6489431" w:history="1">
        <w:r w:rsidRPr="009215B6">
          <w:rPr>
            <w:rStyle w:val="Hyperlink"/>
            <w:noProof/>
            <w:lang w:val="fr-FR"/>
          </w:rPr>
          <w:t>Annexe B – Fabrication de froid / Climatisation (Nusantara 2026)</w:t>
        </w:r>
        <w:r>
          <w:rPr>
            <w:noProof/>
            <w:webHidden/>
          </w:rPr>
          <w:tab/>
        </w:r>
        <w:r>
          <w:rPr>
            <w:noProof/>
            <w:webHidden/>
          </w:rPr>
          <w:fldChar w:fldCharType="begin"/>
        </w:r>
        <w:r>
          <w:rPr>
            <w:noProof/>
            <w:webHidden/>
          </w:rPr>
          <w:instrText xml:space="preserve"> PAGEREF _Toc236489431 \h </w:instrText>
        </w:r>
        <w:r>
          <w:rPr>
            <w:noProof/>
            <w:webHidden/>
          </w:rPr>
        </w:r>
        <w:r>
          <w:rPr>
            <w:noProof/>
            <w:webHidden/>
          </w:rPr>
          <w:fldChar w:fldCharType="separate"/>
        </w:r>
        <w:r>
          <w:rPr>
            <w:noProof/>
            <w:webHidden/>
          </w:rPr>
          <w:t>27</w:t>
        </w:r>
        <w:r>
          <w:rPr>
            <w:noProof/>
            <w:webHidden/>
          </w:rPr>
          <w:fldChar w:fldCharType="end"/>
        </w:r>
      </w:hyperlink>
    </w:p>
    <w:p w14:paraId="2A7EECB6" w14:textId="1AB682A3" w:rsidR="009E5F8A" w:rsidRDefault="009E5F8A">
      <w:pPr>
        <w:pStyle w:val="TOC1"/>
        <w:tabs>
          <w:tab w:val="right" w:leader="dot" w:pos="9628"/>
        </w:tabs>
        <w:rPr>
          <w:rFonts w:asciiTheme="minorHAnsi" w:eastAsiaTheme="minorEastAsia" w:hAnsiTheme="minorHAnsi" w:cstheme="minorBidi"/>
          <w:noProof/>
          <w:kern w:val="2"/>
          <w:sz w:val="24"/>
          <w:szCs w:val="24"/>
          <w14:ligatures w14:val="standardContextual"/>
        </w:rPr>
      </w:pPr>
      <w:hyperlink w:anchor="_Toc236489432" w:history="1">
        <w:r w:rsidRPr="009215B6">
          <w:rPr>
            <w:rStyle w:val="Hyperlink"/>
            <w:noProof/>
            <w:lang w:val="fr-FR"/>
          </w:rPr>
          <w:t>Index</w:t>
        </w:r>
        <w:r>
          <w:rPr>
            <w:noProof/>
            <w:webHidden/>
          </w:rPr>
          <w:tab/>
        </w:r>
        <w:r>
          <w:rPr>
            <w:noProof/>
            <w:webHidden/>
          </w:rPr>
          <w:fldChar w:fldCharType="begin"/>
        </w:r>
        <w:r>
          <w:rPr>
            <w:noProof/>
            <w:webHidden/>
          </w:rPr>
          <w:instrText xml:space="preserve"> PAGEREF _Toc236489432 \h </w:instrText>
        </w:r>
        <w:r>
          <w:rPr>
            <w:noProof/>
            <w:webHidden/>
          </w:rPr>
        </w:r>
        <w:r>
          <w:rPr>
            <w:noProof/>
            <w:webHidden/>
          </w:rPr>
          <w:fldChar w:fldCharType="separate"/>
        </w:r>
        <w:r>
          <w:rPr>
            <w:noProof/>
            <w:webHidden/>
          </w:rPr>
          <w:t>28</w:t>
        </w:r>
        <w:r>
          <w:rPr>
            <w:noProof/>
            <w:webHidden/>
          </w:rPr>
          <w:fldChar w:fldCharType="end"/>
        </w:r>
      </w:hyperlink>
    </w:p>
    <w:p w14:paraId="4F52E711" w14:textId="624BDE0D" w:rsidR="00CA106F" w:rsidRPr="009E5F8A" w:rsidRDefault="00CA106F" w:rsidP="008C068E">
      <w:pPr>
        <w:pBdr>
          <w:top w:val="single" w:sz="12" w:space="8" w:color="0A2540"/>
        </w:pBdr>
        <w:spacing w:before="200"/>
        <w:rPr>
          <w:lang w:val="fr-FR"/>
        </w:rPr>
      </w:pPr>
      <w:r w:rsidRPr="009E5F8A">
        <w:rPr>
          <w:lang w:val="fr-FR"/>
        </w:rPr>
        <w:fldChar w:fldCharType="end"/>
      </w:r>
    </w:p>
    <w:sectPr w:rsidR="00CA106F" w:rsidRPr="009E5F8A" w:rsidSect="00CA106F">
      <w:headerReference w:type="default" r:id="rId25"/>
      <w:pgSz w:w="11906" w:h="16838"/>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ADE98" w14:textId="77777777" w:rsidR="002D53C0" w:rsidRDefault="002D53C0">
      <w:r>
        <w:separator/>
      </w:r>
    </w:p>
  </w:endnote>
  <w:endnote w:type="continuationSeparator" w:id="0">
    <w:p w14:paraId="3101E772" w14:textId="77777777" w:rsidR="002D53C0" w:rsidRDefault="002D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5C8C0F" w14:textId="507EB72C" w:rsidR="00180671" w:rsidRDefault="00000000">
    <w:pPr>
      <w:pBdr>
        <w:top w:val="single" w:sz="6" w:space="4" w:color="1B6B4A"/>
      </w:pBdr>
      <w:spacing w:before="80"/>
      <w:jc w:val="center"/>
    </w:pPr>
    <w:r>
      <w:rPr>
        <w:color w:val="4B5563"/>
        <w:sz w:val="16"/>
        <w:szCs w:val="16"/>
      </w:rPr>
      <w:t xml:space="preserve">Document sous direction de François Dorléans  •  Page </w:t>
    </w:r>
    <w:r>
      <w:rPr>
        <w:color w:val="4B5563"/>
        <w:sz w:val="16"/>
        <w:szCs w:val="16"/>
      </w:rPr>
      <w:fldChar w:fldCharType="begin"/>
    </w:r>
    <w:r>
      <w:rPr>
        <w:color w:val="4B5563"/>
        <w:sz w:val="16"/>
        <w:szCs w:val="16"/>
      </w:rPr>
      <w:instrText>PAGE</w:instrText>
    </w:r>
    <w:r>
      <w:rPr>
        <w:color w:val="4B5563"/>
        <w:sz w:val="16"/>
        <w:szCs w:val="16"/>
      </w:rPr>
      <w:fldChar w:fldCharType="separate"/>
    </w:r>
    <w:r w:rsidR="008C068E">
      <w:rPr>
        <w:noProof/>
        <w:color w:val="4B5563"/>
        <w:sz w:val="16"/>
        <w:szCs w:val="16"/>
      </w:rPr>
      <w:t>1</w:t>
    </w:r>
    <w:r>
      <w:rPr>
        <w:color w:val="4B5563"/>
        <w:sz w:val="16"/>
        <w:szCs w:val="16"/>
      </w:rPr>
      <w:fldChar w:fldCharType="end"/>
    </w:r>
    <w:r>
      <w:rPr>
        <w:color w:val="4B5563"/>
        <w:sz w:val="16"/>
        <w:szCs w:val="16"/>
      </w:rPr>
      <w:t xml:space="preserve"> </w:t>
    </w:r>
    <w:r w:rsidR="008C068E">
      <w:rPr>
        <w:color w:val="666666"/>
        <w:sz w:val="16"/>
        <w:szCs w:val="16"/>
      </w:rPr>
      <w:t xml:space="preserve">/ </w:t>
    </w:r>
    <w:r w:rsidR="008C068E">
      <w:rPr>
        <w:color w:val="666666"/>
        <w:sz w:val="16"/>
        <w:szCs w:val="16"/>
      </w:rPr>
      <w:fldChar w:fldCharType="begin"/>
    </w:r>
    <w:r w:rsidR="008C068E">
      <w:rPr>
        <w:color w:val="666666"/>
        <w:sz w:val="16"/>
        <w:szCs w:val="16"/>
      </w:rPr>
      <w:instrText>NUMPAGES</w:instrText>
    </w:r>
    <w:r w:rsidR="008C068E">
      <w:rPr>
        <w:color w:val="666666"/>
        <w:sz w:val="16"/>
        <w:szCs w:val="16"/>
      </w:rPr>
      <w:fldChar w:fldCharType="separate"/>
    </w:r>
    <w:r w:rsidR="008C068E">
      <w:rPr>
        <w:color w:val="666666"/>
        <w:sz w:val="16"/>
        <w:szCs w:val="16"/>
      </w:rPr>
      <w:t>11</w:t>
    </w:r>
    <w:r w:rsidR="008C068E">
      <w:rPr>
        <w:color w:val="666666"/>
        <w:sz w:val="16"/>
        <w:szCs w:val="16"/>
      </w:rPr>
      <w:fldChar w:fldCharType="end"/>
    </w:r>
    <w:r w:rsidR="008C068E">
      <w:rPr>
        <w:color w:val="666666"/>
        <w:sz w:val="16"/>
        <w:szCs w:val="16"/>
      </w:rPr>
      <w:t xml:space="preserve"> </w:t>
    </w:r>
    <w:r>
      <w:rPr>
        <w:color w:val="4B5563"/>
        <w:sz w:val="16"/>
        <w:szCs w:val="16"/>
      </w:rPr>
      <w:t>•  Possession du produit fini assurée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CC070C" w14:textId="77777777" w:rsidR="002D53C0" w:rsidRDefault="002D53C0">
      <w:r>
        <w:separator/>
      </w:r>
    </w:p>
  </w:footnote>
  <w:footnote w:type="continuationSeparator" w:id="0">
    <w:p w14:paraId="0E22C8D6" w14:textId="77777777" w:rsidR="002D53C0" w:rsidRDefault="002D5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785EBC" w14:textId="77777777" w:rsidR="00180671" w:rsidRDefault="00000000">
    <w:pPr>
      <w:pBdr>
        <w:bottom w:val="single" w:sz="12" w:space="4" w:color="0A2540"/>
      </w:pBdr>
      <w:tabs>
        <w:tab w:val="right" w:pos="9638"/>
      </w:tabs>
      <w:spacing w:after="120"/>
    </w:pPr>
    <w:r>
      <w:rPr>
        <w:color w:val="4B5563"/>
        <w:sz w:val="16"/>
        <w:szCs w:val="16"/>
      </w:rPr>
      <w:t>Rapport technique – Jakarta &amp; Nusantara (IKN)</w:t>
    </w:r>
    <w:r>
      <w:rPr>
        <w:sz w:val="16"/>
        <w:szCs w:val="16"/>
      </w:rPr>
      <w:tab/>
    </w:r>
    <w:r>
      <w:rPr>
        <w:color w:val="4B5563"/>
        <w:sz w:val="16"/>
        <w:szCs w:val="16"/>
      </w:rPr>
      <w:t>Juillet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9A910" w14:textId="4CE56ED9" w:rsidR="00CA106F" w:rsidRPr="007D7CC9" w:rsidRDefault="00CA106F">
    <w:pPr>
      <w:pBdr>
        <w:bottom w:val="single" w:sz="12" w:space="4" w:color="0A2540"/>
      </w:pBdr>
      <w:tabs>
        <w:tab w:val="right" w:pos="9638"/>
      </w:tabs>
      <w:spacing w:after="120"/>
      <w:rPr>
        <w:lang w:val="fr-FR"/>
      </w:rPr>
    </w:pPr>
    <w:r w:rsidRPr="007D7CC9">
      <w:rPr>
        <w:color w:val="4B5563"/>
        <w:sz w:val="16"/>
        <w:szCs w:val="16"/>
        <w:lang w:val="fr-FR"/>
      </w:rPr>
      <w:t>ANNEXE : Amélioration de la base du projet de base Nusantara par contribution universelle</w:t>
    </w:r>
    <w:r w:rsidRPr="007D7CC9">
      <w:rPr>
        <w:sz w:val="16"/>
        <w:szCs w:val="16"/>
        <w:lang w:val="fr-FR"/>
      </w:rPr>
      <w:tab/>
    </w:r>
    <w:r w:rsidRPr="007D7CC9">
      <w:rPr>
        <w:color w:val="4B5563"/>
        <w:sz w:val="16"/>
        <w:szCs w:val="16"/>
        <w:lang w:val="fr-FR"/>
      </w:rPr>
      <w:t>Juillet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11771F" w14:textId="0BC7F8D2" w:rsidR="00CA106F" w:rsidRDefault="00CA106F">
    <w:pPr>
      <w:pBdr>
        <w:bottom w:val="single" w:sz="12" w:space="4" w:color="0A2540"/>
      </w:pBdr>
      <w:tabs>
        <w:tab w:val="right" w:pos="9638"/>
      </w:tabs>
      <w:spacing w:after="120"/>
    </w:pPr>
    <w:r w:rsidRPr="00CA106F">
      <w:rPr>
        <w:color w:val="4B5563"/>
        <w:sz w:val="16"/>
        <w:szCs w:val="16"/>
      </w:rPr>
      <w:t>SPÉCIFICATION FONCTIONNELLE: CrowdSupport Nusantara</w:t>
    </w:r>
    <w:r>
      <w:rPr>
        <w:sz w:val="16"/>
        <w:szCs w:val="16"/>
      </w:rPr>
      <w:tab/>
    </w:r>
    <w:r>
      <w:rPr>
        <w:color w:val="4B5563"/>
        <w:sz w:val="16"/>
        <w:szCs w:val="16"/>
      </w:rPr>
      <w:t>Juillet 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0DA226" w14:textId="77777777" w:rsidR="007D7CC9" w:rsidRPr="00F00322" w:rsidRDefault="007D7CC9" w:rsidP="00F00322">
    <w:pPr>
      <w:pStyle w:val="Header"/>
      <w:rPr>
        <w:rFonts w:ascii="Aptos" w:hAnsi="Aptos"/>
      </w:rPr>
    </w:pPr>
    <w:r w:rsidRPr="00F00322">
      <w:rPr>
        <w:rFonts w:ascii="Aptos" w:hAnsi="Aptos"/>
      </w:rPr>
      <w:t>JAKARTA AGGLOMÉRATION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909FE" w14:textId="77777777" w:rsidR="007D7CC9" w:rsidRPr="00F00322" w:rsidRDefault="007D7CC9" w:rsidP="00F00322">
    <w:pPr>
      <w:pStyle w:val="Header"/>
      <w:rPr>
        <w:rFonts w:ascii="Aptos" w:hAnsi="Aptos"/>
      </w:rPr>
    </w:pPr>
    <w:r w:rsidRPr="00F00322">
      <w:rPr>
        <w:rFonts w:ascii="Aptos" w:hAnsi="Aptos"/>
      </w:rPr>
      <w:t>JAKARTA AGGLOMÉRATION</w:t>
    </w:r>
    <w:r>
      <w:rPr>
        <w:rFonts w:ascii="Aptos" w:hAnsi="Aptos"/>
      </w:rPr>
      <w:t xml:space="preserve"> - </w:t>
    </w:r>
    <w:r w:rsidRPr="00F00322">
      <w:rPr>
        <w:rFonts w:ascii="Aptos" w:hAnsi="Aptos"/>
      </w:rPr>
      <w:t>ANNEXE A</w:t>
    </w:r>
    <w:r>
      <w:rPr>
        <w:rFonts w:ascii="Aptos" w:hAnsi="Aptos"/>
      </w:rPr>
      <w:t xml:space="preserve"> – Bilan Carbone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25933" w14:textId="77777777" w:rsidR="007D7CC9" w:rsidRPr="00F00322" w:rsidRDefault="007D7CC9" w:rsidP="00F00322">
    <w:pPr>
      <w:pStyle w:val="Header"/>
      <w:rPr>
        <w:rFonts w:ascii="Aptos" w:hAnsi="Aptos"/>
        <w:lang w:val="fr-FR"/>
      </w:rPr>
    </w:pPr>
    <w:r w:rsidRPr="00F00322">
      <w:rPr>
        <w:rFonts w:ascii="Aptos" w:hAnsi="Aptos"/>
        <w:lang w:val="fr-FR"/>
      </w:rPr>
      <w:t>JAKARTA AGGLOMÉRATION - ANNEXE B – Bilan Énergétique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6EDCD" w14:textId="799D041F" w:rsidR="002062BB" w:rsidRDefault="007D7CC9">
    <w:pPr>
      <w:pBdr>
        <w:bottom w:val="single" w:sz="12" w:space="4" w:color="0A2540"/>
      </w:pBdr>
      <w:tabs>
        <w:tab w:val="right" w:pos="9638"/>
      </w:tabs>
      <w:spacing w:after="120"/>
    </w:pPr>
    <w:r>
      <w:rPr>
        <w:color w:val="4B5563"/>
        <w:sz w:val="16"/>
        <w:szCs w:val="16"/>
      </w:rPr>
      <w:t>Etude Jakarta</w:t>
    </w:r>
    <w:r w:rsidR="002062BB">
      <w:rPr>
        <w:sz w:val="16"/>
        <w:szCs w:val="16"/>
      </w:rPr>
      <w:tab/>
    </w:r>
    <w:r w:rsidR="002062BB">
      <w:rPr>
        <w:color w:val="4B5563"/>
        <w:sz w:val="16"/>
        <w:szCs w:val="16"/>
      </w:rPr>
      <w:t>Juillet 2026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306DB6" w14:textId="4AA2D899" w:rsidR="007D7CC9" w:rsidRDefault="009E5F8A">
    <w:pPr>
      <w:pBdr>
        <w:bottom w:val="single" w:sz="12" w:space="4" w:color="0A2540"/>
      </w:pBdr>
      <w:tabs>
        <w:tab w:val="right" w:pos="9638"/>
      </w:tabs>
      <w:spacing w:after="120"/>
    </w:pPr>
    <w:r>
      <w:rPr>
        <w:color w:val="4B5563"/>
        <w:sz w:val="16"/>
        <w:szCs w:val="16"/>
      </w:rPr>
      <w:t>Nusantara</w:t>
    </w:r>
    <w:r w:rsidR="007D7CC9">
      <w:rPr>
        <w:sz w:val="16"/>
        <w:szCs w:val="16"/>
      </w:rPr>
      <w:tab/>
    </w:r>
    <w:r w:rsidR="007D7CC9">
      <w:rPr>
        <w:color w:val="4B5563"/>
        <w:sz w:val="16"/>
        <w:szCs w:val="16"/>
      </w:rPr>
      <w:t>Juillet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C1155C" w14:textId="77777777" w:rsidR="009E5F8A" w:rsidRDefault="009E5F8A">
    <w:pPr>
      <w:pBdr>
        <w:bottom w:val="single" w:sz="12" w:space="4" w:color="0A2540"/>
      </w:pBdr>
      <w:tabs>
        <w:tab w:val="right" w:pos="9638"/>
      </w:tabs>
      <w:spacing w:after="120"/>
    </w:pPr>
    <w:r>
      <w:rPr>
        <w:color w:val="4B5563"/>
        <w:sz w:val="16"/>
        <w:szCs w:val="16"/>
      </w:rPr>
      <w:t>Index</w:t>
    </w:r>
    <w:r>
      <w:rPr>
        <w:sz w:val="16"/>
        <w:szCs w:val="16"/>
      </w:rPr>
      <w:tab/>
    </w:r>
    <w:r>
      <w:rPr>
        <w:color w:val="4B5563"/>
        <w:sz w:val="16"/>
        <w:szCs w:val="16"/>
      </w:rPr>
      <w:t>Juillet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1F52F8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C430C"/>
    <w:multiLevelType w:val="hybridMultilevel"/>
    <w:tmpl w:val="B5C0252E"/>
    <w:lvl w:ilvl="0" w:tplc="C77C7C1A">
      <w:start w:val="1"/>
      <w:numFmt w:val="bullet"/>
      <w:lvlText w:val="●"/>
      <w:lvlJc w:val="left"/>
      <w:pPr>
        <w:ind w:left="720" w:hanging="360"/>
      </w:pPr>
    </w:lvl>
    <w:lvl w:ilvl="1" w:tplc="6450C13C">
      <w:start w:val="1"/>
      <w:numFmt w:val="bullet"/>
      <w:lvlText w:val="○"/>
      <w:lvlJc w:val="left"/>
      <w:pPr>
        <w:ind w:left="1440" w:hanging="360"/>
      </w:pPr>
    </w:lvl>
    <w:lvl w:ilvl="2" w:tplc="952A028E">
      <w:start w:val="1"/>
      <w:numFmt w:val="bullet"/>
      <w:lvlText w:val="■"/>
      <w:lvlJc w:val="left"/>
      <w:pPr>
        <w:ind w:left="2160" w:hanging="360"/>
      </w:pPr>
    </w:lvl>
    <w:lvl w:ilvl="3" w:tplc="771C039C">
      <w:start w:val="1"/>
      <w:numFmt w:val="bullet"/>
      <w:lvlText w:val="●"/>
      <w:lvlJc w:val="left"/>
      <w:pPr>
        <w:ind w:left="2880" w:hanging="360"/>
      </w:pPr>
    </w:lvl>
    <w:lvl w:ilvl="4" w:tplc="E2C2BFF8">
      <w:start w:val="1"/>
      <w:numFmt w:val="bullet"/>
      <w:lvlText w:val="○"/>
      <w:lvlJc w:val="left"/>
      <w:pPr>
        <w:ind w:left="3600" w:hanging="360"/>
      </w:pPr>
    </w:lvl>
    <w:lvl w:ilvl="5" w:tplc="27D22750">
      <w:start w:val="1"/>
      <w:numFmt w:val="bullet"/>
      <w:lvlText w:val="■"/>
      <w:lvlJc w:val="left"/>
      <w:pPr>
        <w:ind w:left="4320" w:hanging="360"/>
      </w:pPr>
    </w:lvl>
    <w:lvl w:ilvl="6" w:tplc="ADF65538">
      <w:start w:val="1"/>
      <w:numFmt w:val="bullet"/>
      <w:lvlText w:val="●"/>
      <w:lvlJc w:val="left"/>
      <w:pPr>
        <w:ind w:left="5040" w:hanging="360"/>
      </w:pPr>
    </w:lvl>
    <w:lvl w:ilvl="7" w:tplc="B064A120">
      <w:start w:val="1"/>
      <w:numFmt w:val="bullet"/>
      <w:lvlText w:val="●"/>
      <w:lvlJc w:val="left"/>
      <w:pPr>
        <w:ind w:left="5760" w:hanging="360"/>
      </w:pPr>
    </w:lvl>
    <w:lvl w:ilvl="8" w:tplc="DA34901E">
      <w:start w:val="1"/>
      <w:numFmt w:val="bullet"/>
      <w:lvlText w:val="●"/>
      <w:lvlJc w:val="left"/>
      <w:pPr>
        <w:ind w:left="6480" w:hanging="360"/>
      </w:pPr>
    </w:lvl>
  </w:abstractNum>
  <w:abstractNum w:abstractNumId="2" w15:restartNumberingAfterBreak="0">
    <w:nsid w:val="165A34A9"/>
    <w:multiLevelType w:val="hybridMultilevel"/>
    <w:tmpl w:val="DBDE67A8"/>
    <w:lvl w:ilvl="0" w:tplc="27FE84C2">
      <w:start w:val="1"/>
      <w:numFmt w:val="bullet"/>
      <w:lvlText w:val="•"/>
      <w:lvlJc w:val="left"/>
      <w:pPr>
        <w:ind w:left="720" w:hanging="360"/>
      </w:pPr>
    </w:lvl>
    <w:lvl w:ilvl="1" w:tplc="8B7CBEA0">
      <w:numFmt w:val="decimal"/>
      <w:lvlText w:val=""/>
      <w:lvlJc w:val="left"/>
    </w:lvl>
    <w:lvl w:ilvl="2" w:tplc="A4B06E38">
      <w:numFmt w:val="decimal"/>
      <w:lvlText w:val=""/>
      <w:lvlJc w:val="left"/>
    </w:lvl>
    <w:lvl w:ilvl="3" w:tplc="DBB8CD92">
      <w:numFmt w:val="decimal"/>
      <w:lvlText w:val=""/>
      <w:lvlJc w:val="left"/>
    </w:lvl>
    <w:lvl w:ilvl="4" w:tplc="035C4184">
      <w:numFmt w:val="decimal"/>
      <w:lvlText w:val=""/>
      <w:lvlJc w:val="left"/>
    </w:lvl>
    <w:lvl w:ilvl="5" w:tplc="E160DC82">
      <w:numFmt w:val="decimal"/>
      <w:lvlText w:val=""/>
      <w:lvlJc w:val="left"/>
    </w:lvl>
    <w:lvl w:ilvl="6" w:tplc="E976FDE2">
      <w:numFmt w:val="decimal"/>
      <w:lvlText w:val=""/>
      <w:lvlJc w:val="left"/>
    </w:lvl>
    <w:lvl w:ilvl="7" w:tplc="915AA7C0">
      <w:numFmt w:val="decimal"/>
      <w:lvlText w:val=""/>
      <w:lvlJc w:val="left"/>
    </w:lvl>
    <w:lvl w:ilvl="8" w:tplc="DC30B322">
      <w:numFmt w:val="decimal"/>
      <w:lvlText w:val=""/>
      <w:lvlJc w:val="left"/>
    </w:lvl>
  </w:abstractNum>
  <w:abstractNum w:abstractNumId="3" w15:restartNumberingAfterBreak="0">
    <w:nsid w:val="78745720"/>
    <w:multiLevelType w:val="hybridMultilevel"/>
    <w:tmpl w:val="528ADEAC"/>
    <w:lvl w:ilvl="0" w:tplc="2F5424B8">
      <w:start w:val="1"/>
      <w:numFmt w:val="decimal"/>
      <w:lvlText w:val="%1."/>
      <w:lvlJc w:val="left"/>
      <w:pPr>
        <w:ind w:left="720" w:hanging="360"/>
      </w:pPr>
    </w:lvl>
    <w:lvl w:ilvl="1" w:tplc="29E47BE2">
      <w:numFmt w:val="decimal"/>
      <w:lvlText w:val=""/>
      <w:lvlJc w:val="left"/>
    </w:lvl>
    <w:lvl w:ilvl="2" w:tplc="0BCCDADA">
      <w:numFmt w:val="decimal"/>
      <w:lvlText w:val=""/>
      <w:lvlJc w:val="left"/>
    </w:lvl>
    <w:lvl w:ilvl="3" w:tplc="A106E7B6">
      <w:numFmt w:val="decimal"/>
      <w:lvlText w:val=""/>
      <w:lvlJc w:val="left"/>
    </w:lvl>
    <w:lvl w:ilvl="4" w:tplc="AF84EE9A">
      <w:numFmt w:val="decimal"/>
      <w:lvlText w:val=""/>
      <w:lvlJc w:val="left"/>
    </w:lvl>
    <w:lvl w:ilvl="5" w:tplc="21B0C0F2">
      <w:numFmt w:val="decimal"/>
      <w:lvlText w:val=""/>
      <w:lvlJc w:val="left"/>
    </w:lvl>
    <w:lvl w:ilvl="6" w:tplc="84180F60">
      <w:numFmt w:val="decimal"/>
      <w:lvlText w:val=""/>
      <w:lvlJc w:val="left"/>
    </w:lvl>
    <w:lvl w:ilvl="7" w:tplc="3C2A6098">
      <w:numFmt w:val="decimal"/>
      <w:lvlText w:val=""/>
      <w:lvlJc w:val="left"/>
    </w:lvl>
    <w:lvl w:ilvl="8" w:tplc="0C94F1AC">
      <w:numFmt w:val="decimal"/>
      <w:lvlText w:val=""/>
      <w:lvlJc w:val="left"/>
    </w:lvl>
  </w:abstractNum>
  <w:num w:numId="1" w16cid:durableId="1676569982">
    <w:abstractNumId w:val="1"/>
    <w:lvlOverride w:ilvl="0">
      <w:startOverride w:val="1"/>
    </w:lvlOverride>
  </w:num>
  <w:num w:numId="2" w16cid:durableId="784157235">
    <w:abstractNumId w:val="2"/>
    <w:lvlOverride w:ilvl="0">
      <w:startOverride w:val="1"/>
    </w:lvlOverride>
  </w:num>
  <w:num w:numId="3" w16cid:durableId="1909212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71"/>
    <w:rsid w:val="00180671"/>
    <w:rsid w:val="001A43AA"/>
    <w:rsid w:val="002062BB"/>
    <w:rsid w:val="002D2974"/>
    <w:rsid w:val="002D53C0"/>
    <w:rsid w:val="00427E2F"/>
    <w:rsid w:val="007B1545"/>
    <w:rsid w:val="007D7CC9"/>
    <w:rsid w:val="008C068E"/>
    <w:rsid w:val="009E5F8A"/>
    <w:rsid w:val="00B1022E"/>
    <w:rsid w:val="00B504C0"/>
    <w:rsid w:val="00C11495"/>
    <w:rsid w:val="00CA106F"/>
    <w:rsid w:val="00FB5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9ED463"/>
  <w15:docId w15:val="{A57F90A4-FDFF-D741-854C-ED2A4A6D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0A2540"/>
      <w:sz w:val="28"/>
      <w:szCs w:val="28"/>
    </w:rPr>
  </w:style>
  <w:style w:type="paragraph" w:styleId="Heading2">
    <w:name w:val="heading 2"/>
    <w:uiPriority w:val="9"/>
    <w:unhideWhenUsed/>
    <w:qFormat/>
    <w:pPr>
      <w:spacing w:before="280" w:after="120"/>
      <w:outlineLvl w:val="1"/>
    </w:pPr>
    <w:rPr>
      <w:b/>
      <w:bCs/>
      <w:color w:val="1B6B4A"/>
      <w:sz w:val="24"/>
      <w:szCs w:val="24"/>
    </w:rPr>
  </w:style>
  <w:style w:type="paragraph" w:styleId="Heading3">
    <w:name w:val="heading 3"/>
    <w:uiPriority w:val="9"/>
    <w:unhideWhenUsed/>
    <w:qFormat/>
    <w:pPr>
      <w:spacing w:before="200" w:after="80"/>
      <w:outlineLvl w:val="2"/>
    </w:pPr>
    <w:rPr>
      <w:b/>
      <w:bCs/>
      <w:color w:val="0A2540"/>
      <w:sz w:val="22"/>
      <w:szCs w:val="22"/>
    </w:rPr>
  </w:style>
  <w:style w:type="paragraph" w:styleId="Heading4">
    <w:name w:val="heading 4"/>
    <w:uiPriority w:val="9"/>
    <w:unhideWhenUsed/>
    <w:qFormat/>
    <w:pPr>
      <w:outlineLvl w:val="3"/>
    </w:pPr>
    <w:rPr>
      <w:i/>
      <w:iCs/>
      <w:color w:val="2E74B5"/>
    </w:rPr>
  </w:style>
  <w:style w:type="paragraph" w:styleId="Heading5">
    <w:name w:val="heading 5"/>
    <w:uiPriority w:val="9"/>
    <w:unhideWhenUsed/>
    <w:qFormat/>
    <w:pPr>
      <w:outlineLvl w:val="4"/>
    </w:pPr>
    <w:rPr>
      <w:color w:val="2E74B5"/>
    </w:rPr>
  </w:style>
  <w:style w:type="paragraph" w:styleId="Heading6">
    <w:name w:val="heading 6"/>
    <w:uiPriority w:val="9"/>
    <w:unhideWhenUsed/>
    <w:qFormat/>
    <w:pPr>
      <w:outlineLvl w:val="5"/>
    </w:pPr>
    <w:rPr>
      <w:color w:val="1F4D78"/>
    </w:rPr>
  </w:style>
  <w:style w:type="paragraph" w:styleId="Heading7">
    <w:name w:val="heading 7"/>
    <w:basedOn w:val="Normal"/>
    <w:next w:val="Normal"/>
    <w:link w:val="Heading7Char"/>
    <w:uiPriority w:val="9"/>
    <w:unhideWhenUsed/>
    <w:qFormat/>
    <w:rsid w:val="002062BB"/>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2062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062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before="200" w:after="120"/>
      <w:jc w:val="center"/>
    </w:pPr>
    <w:rPr>
      <w:b/>
      <w:bCs/>
      <w:color w:val="0A2540"/>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C068E"/>
    <w:pPr>
      <w:tabs>
        <w:tab w:val="center" w:pos="4513"/>
        <w:tab w:val="right" w:pos="9026"/>
      </w:tabs>
    </w:pPr>
  </w:style>
  <w:style w:type="character" w:customStyle="1" w:styleId="HeaderChar">
    <w:name w:val="Header Char"/>
    <w:basedOn w:val="DefaultParagraphFont"/>
    <w:link w:val="Header"/>
    <w:uiPriority w:val="99"/>
    <w:rsid w:val="008C068E"/>
  </w:style>
  <w:style w:type="paragraph" w:styleId="Footer">
    <w:name w:val="footer"/>
    <w:basedOn w:val="Normal"/>
    <w:link w:val="FooterChar"/>
    <w:uiPriority w:val="99"/>
    <w:unhideWhenUsed/>
    <w:rsid w:val="008C068E"/>
    <w:pPr>
      <w:tabs>
        <w:tab w:val="center" w:pos="4513"/>
        <w:tab w:val="right" w:pos="9026"/>
      </w:tabs>
    </w:pPr>
  </w:style>
  <w:style w:type="character" w:customStyle="1" w:styleId="FooterChar">
    <w:name w:val="Footer Char"/>
    <w:basedOn w:val="DefaultParagraphFont"/>
    <w:link w:val="Footer"/>
    <w:uiPriority w:val="99"/>
    <w:rsid w:val="008C068E"/>
  </w:style>
  <w:style w:type="paragraph" w:styleId="ListBullet">
    <w:name w:val="List Bullet"/>
    <w:basedOn w:val="Normal"/>
    <w:uiPriority w:val="99"/>
    <w:unhideWhenUsed/>
    <w:rsid w:val="00CA106F"/>
    <w:pPr>
      <w:numPr>
        <w:numId w:val="3"/>
      </w:numPr>
      <w:tabs>
        <w:tab w:val="clear" w:pos="360"/>
      </w:tabs>
      <w:spacing w:after="120" w:line="276" w:lineRule="auto"/>
      <w:ind w:left="0" w:firstLine="0"/>
      <w:contextualSpacing/>
    </w:pPr>
    <w:rPr>
      <w:rFonts w:eastAsiaTheme="minorEastAsia" w:cstheme="minorBidi"/>
      <w:szCs w:val="22"/>
      <w:lang w:val="en-US" w:eastAsia="en-US"/>
    </w:rPr>
  </w:style>
  <w:style w:type="paragraph" w:styleId="TOC1">
    <w:name w:val="toc 1"/>
    <w:basedOn w:val="Normal"/>
    <w:next w:val="Normal"/>
    <w:autoRedefine/>
    <w:uiPriority w:val="39"/>
    <w:unhideWhenUsed/>
    <w:rsid w:val="00CA106F"/>
    <w:pPr>
      <w:spacing w:after="100"/>
    </w:pPr>
  </w:style>
  <w:style w:type="paragraph" w:styleId="TOC2">
    <w:name w:val="toc 2"/>
    <w:basedOn w:val="Normal"/>
    <w:next w:val="Normal"/>
    <w:autoRedefine/>
    <w:uiPriority w:val="39"/>
    <w:unhideWhenUsed/>
    <w:rsid w:val="00CA106F"/>
    <w:pPr>
      <w:spacing w:after="100"/>
      <w:ind w:left="200"/>
    </w:pPr>
  </w:style>
  <w:style w:type="paragraph" w:styleId="TOC3">
    <w:name w:val="toc 3"/>
    <w:basedOn w:val="Normal"/>
    <w:next w:val="Normal"/>
    <w:autoRedefine/>
    <w:uiPriority w:val="39"/>
    <w:unhideWhenUsed/>
    <w:rsid w:val="00CA106F"/>
    <w:pPr>
      <w:spacing w:after="100"/>
      <w:ind w:left="400"/>
    </w:pPr>
  </w:style>
  <w:style w:type="paragraph" w:styleId="TOC4">
    <w:name w:val="toc 4"/>
    <w:basedOn w:val="Normal"/>
    <w:next w:val="Normal"/>
    <w:autoRedefine/>
    <w:uiPriority w:val="39"/>
    <w:unhideWhenUsed/>
    <w:rsid w:val="00CA106F"/>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CA106F"/>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CA106F"/>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CA106F"/>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CA106F"/>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CA106F"/>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CA106F"/>
    <w:rPr>
      <w:color w:val="605E5C"/>
      <w:shd w:val="clear" w:color="auto" w:fill="E1DFDD"/>
    </w:rPr>
  </w:style>
  <w:style w:type="character" w:customStyle="1" w:styleId="Heading7Char">
    <w:name w:val="Heading 7 Char"/>
    <w:basedOn w:val="DefaultParagraphFont"/>
    <w:link w:val="Heading7"/>
    <w:uiPriority w:val="9"/>
    <w:rsid w:val="002062BB"/>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2062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062B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7D7CC9"/>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kn.go.id/storage/nusantaras-smart-building-guideline.pdf" TargetMode="External"/><Relationship Id="rId13" Type="http://schemas.openxmlformats.org/officeDocument/2006/relationships/hyperlink" Target="https://openjicareport.jica.go.jp/pdf/12150942.pdf"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https://ikn.go.id/en" TargetMode="External"/><Relationship Id="rId12" Type="http://schemas.openxmlformats.org/officeDocument/2006/relationships/hyperlink" Target="https://piahs.copernicus.org/articles/372/115/2015/piahs-372-115-2015.pdf" TargetMode="External"/><Relationship Id="rId17" Type="http://schemas.openxmlformats.org/officeDocument/2006/relationships/footer" Target="footer1.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bdh.org/district-cooling-implementation-in-indonesia-a-gateway-to-collaboration/" TargetMode="Externa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yperlink" Target="https://world-nuclear.org/information-library/country-profiles/countries-g-n/nuclear-power-in-indonesia" TargetMode="External"/><Relationship Id="rId23" Type="http://schemas.openxmlformats.org/officeDocument/2006/relationships/header" Target="header7.xml"/><Relationship Id="rId10" Type="http://schemas.openxmlformats.org/officeDocument/2006/relationships/hyperlink" Target="https://www.sipa.columbia.edu/sites/default/files/2023-10/Powering%20Nusantara%20Report_FinalReport.pd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undp.org/indonesia/publications/imagining-nusantara-capital-city-ikn" TargetMode="External"/><Relationship Id="rId14" Type="http://schemas.openxmlformats.org/officeDocument/2006/relationships/hyperlink" Target="https://earth.org/deep-dive-rising-sea-levels-force-relocation-of-indonesian-capital/"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29</Pages>
  <Words>13250</Words>
  <Characters>78444</Characters>
  <Application>Microsoft Office Word</Application>
  <DocSecurity>0</DocSecurity>
  <Lines>1480</Lines>
  <Paragraphs>1190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Francois Dorleans</cp:lastModifiedBy>
  <cp:revision>4</cp:revision>
  <cp:lastPrinted>2026-08-01T13:08:00Z</cp:lastPrinted>
  <dcterms:created xsi:type="dcterms:W3CDTF">2026-07-31T22:08:00Z</dcterms:created>
  <dcterms:modified xsi:type="dcterms:W3CDTF">2026-08-01T13:08:00Z</dcterms:modified>
</cp:coreProperties>
</file>