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jc w:val="center"/>
      </w:pPr>
      <w:r>
        <w:rPr>
          <w:rFonts w:ascii="Arial" w:cs="Arial" w:eastAsia="Arial" w:hAnsi="Arial"/>
          <w:b/>
          <w:bCs/>
          <w:color w:val="1F4E79"/>
          <w:sz w:val="40"/>
          <w:szCs w:val="40"/>
        </w:rPr>
        <w:t xml:space="preserve">STATE OF THE ART</w:t>
      </w:r>
    </w:p>
    <w:p>
      <w:pPr>
        <w:spacing w:after="200"/>
        <w:jc w:val="center"/>
      </w:pPr>
      <w:r>
        <w:rPr>
          <w:rFonts w:ascii="Arial" w:cs="Arial" w:eastAsia="Arial" w:hAnsi="Arial"/>
          <w:b/>
          <w:bCs/>
          <w:color w:val="2E75B6"/>
          <w:sz w:val="36"/>
          <w:szCs w:val="36"/>
        </w:rPr>
        <w:t xml:space="preserve">Sea Water Air Conditioning (SWAC)</w:t>
      </w:r>
    </w:p>
    <w:p>
      <w:pPr>
        <w:spacing w:after="100"/>
        <w:jc w:val="center"/>
      </w:pPr>
      <w:r>
        <w:rPr>
          <w:rFonts w:ascii="Arial" w:cs="Arial" w:eastAsia="Arial" w:hAnsi="Arial"/>
          <w:i/>
          <w:iCs/>
          <w:color w:val="555555"/>
          <w:sz w:val="24"/>
          <w:szCs w:val="24"/>
        </w:rPr>
        <w:t xml:space="preserve">Deep Ocean Water Cooling for Sustainable District Cooling</w:t>
      </w:r>
    </w:p>
    <w:p>
      <w:pPr>
        <w:spacing w:after="100" w:before="400"/>
        <w:jc w:val="center"/>
      </w:pPr>
      <w:r>
        <w:rPr>
          <w:rFonts w:ascii="Arial" w:cs="Arial" w:eastAsia="Arial" w:hAnsi="Arial"/>
          <w:sz w:val="22"/>
          <w:szCs w:val="22"/>
        </w:rPr>
        <w:t xml:space="preserve">Complete Technical Dossier</w:t>
      </w:r>
    </w:p>
    <w:p>
      <w:pPr>
        <w:jc w:val="center"/>
      </w:pPr>
      <w:r>
        <w:rPr>
          <w:rFonts w:ascii="Arial" w:cs="Arial" w:eastAsia="Arial" w:hAnsi="Arial"/>
          <w:color w:val="666666"/>
          <w:sz w:val="20"/>
          <w:szCs w:val="20"/>
        </w:rPr>
        <w:t xml:space="preserve">August 2026</w:t>
      </w:r>
    </w:p>
    <w:p>
      <w:pPr>
        <w:spacing w:before="200"/>
        <w:jc w:val="center"/>
      </w:pPr>
      <w:r>
        <w:rPr>
          <w:rFonts w:ascii="Arial" w:cs="Arial" w:eastAsia="Arial" w:hAnsi="Arial"/>
          <w:color w:val="666666"/>
          <w:sz w:val="18"/>
          <w:szCs w:val="18"/>
        </w:rPr>
        <w:t xml:space="preserve">Prepared by Grok (xAI) in collaboration with research synthesis</w:t>
      </w:r>
    </w:p>
    <w:p>
      <w:r>
        <w:br w:type="page"/>
      </w:r>
    </w:p>
    <w:p>
      <w:pPr>
        <w:pStyle w:val="Heading1"/>
      </w:pPr>
      <w: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1. Definition and Principle</w:t>
      </w:r>
    </w:p>
    <w:p>
      <w:pPr>
        <w:spacing w:after="120"/>
      </w:pPr>
      <w:r>
        <w:t xml:space="preserve">Sea Water Air Conditioning (SWAC), also known as Deep Water Source Cooling when applied to seawater or lake water, is a renewable cooling technology that pumps naturally cold water (typically 4–6 °C) from great depths (700–1,000 m in tropical regions) to provide space cooling for buildings or district cooling networks without relying on a vapor-compression thermodynamic cycle.</w:t>
      </w:r>
    </w:p>
    <w:p>
      <w:pPr>
        <w:spacing w:after="120"/>
      </w:pPr>
      <w:r>
        <w:t xml:space="preserve">Deep Ocean Water (DOW) is drawn through a primary High-Density Polyethylene (HDPE) pipeline to a coastal technical station. There, it transfers its cold to a secondary freshwater chilled-water circuit (classic regime 7/12 °C or optimized higher temperatures) via titanium plate heat exchangers. The slightly warmed seawater (11–13 °C) is returned to the ocean at a controlled depth through a multiport diffuser. Pumps are the only major electricity consumers.</w:t>
      </w:r>
    </w:p>
    <w:p>
      <w:pPr>
        <w:spacing w:after="80"/>
      </w:pPr>
      <w:r>
        <w:rPr>
          <w:b/>
          <w:bCs/>
        </w:rPr>
        <w:t xml:space="preserve">Two main variants exist:</w:t>
      </w:r>
    </w:p>
    <w:p>
      <w:pPr>
        <w:pStyle w:val="ListParagraph"/>
        <w:numPr>
          <w:ilvl w:val="0"/>
          <w:numId w:val="2"/>
        </w:numPr>
      </w:pPr>
      <w:r>
        <w:rPr>
          <w:b/>
          <w:bCs/>
        </w:rPr>
        <w:t xml:space="preserve">Direct SWAC: </w:t>
      </w:r>
      <w:r>
        <w:t xml:space="preserve">Cooling is provided solely by deep cold water (pure thermal systems).</w:t>
      </w:r>
    </w:p>
    <w:p>
      <w:pPr>
        <w:pStyle w:val="ListParagraph"/>
        <w:numPr>
          <w:ilvl w:val="0"/>
          <w:numId w:val="2"/>
        </w:numPr>
      </w:pPr>
      <w:r>
        <w:rPr>
          <w:b/>
          <w:bCs/>
        </w:rPr>
        <w:t xml:space="preserve">Assisted SWAC / SWHP: </w:t>
      </w:r>
      <w:r>
        <w:t xml:space="preserve">Supplementary chillers or heat pumps are used when intake temperature is insufficient.</w:t>
      </w:r>
    </w:p>
    <w:p>
      <w:pPr>
        <w:pStyle w:val="Heading1"/>
      </w:pPr>
      <w:r>
        <w:t xml:space="preserve">2. History</w:t>
      </w:r>
    </w:p>
    <w:p>
      <w:pPr>
        <w:spacing w:after="120"/>
      </w:pPr>
      <w:r>
        <w:t xml:space="preserve">Feasibility studies began in 1975 with a U.S. Department of Energy program on district cooling using cold seawater (sites studied: Miami/Ft. Lauderdale and Honolulu). In 1980 the U.S. Navy examined the concept for naval facilities. Early practical applications appeared in the 1980s:</w:t>
      </w:r>
    </w:p>
    <w:p>
      <w:pPr>
        <w:pStyle w:val="ListParagraph"/>
        <w:numPr>
          <w:ilvl w:val="0"/>
          <w:numId w:val="2"/>
        </w:numPr>
      </w:pPr>
      <w:r>
        <w:t xml:space="preserve">1986 – Purdy’s Wharf (Halifax, Canada) using relatively shallow seawater.</w:t>
      </w:r>
    </w:p>
    <w:p>
      <w:pPr>
        <w:pStyle w:val="ListParagraph"/>
        <w:numPr>
          <w:ilvl w:val="0"/>
          <w:numId w:val="2"/>
        </w:numPr>
      </w:pPr>
      <w:r>
        <w:t xml:space="preserve">1986 – Natural Energy Laboratory of Hawaii Authority (NELHA, Keahole Point) – opportunistic use of existing OTEC pipelines to cool laboratories and buildings.</w:t>
      </w:r>
    </w:p>
    <w:p>
      <w:pPr>
        <w:pStyle w:val="ListParagraph"/>
        <w:numPr>
          <w:ilvl w:val="0"/>
          <w:numId w:val="2"/>
        </w:numPr>
      </w:pPr>
      <w:r>
        <w:t xml:space="preserve">1995 – Stockholm district cooling using Baltic Sea water.</w:t>
      </w:r>
    </w:p>
    <w:p>
      <w:pPr>
        <w:pStyle w:val="ListParagraph"/>
        <w:numPr>
          <w:ilvl w:val="0"/>
          <w:numId w:val="2"/>
        </w:numPr>
      </w:pPr>
      <w:r>
        <w:t xml:space="preserve">1999–2000 – Cornell University Lake Source Cooling (Cayuga Lake).</w:t>
      </w:r>
    </w:p>
    <w:p>
      <w:pPr>
        <w:pStyle w:val="ListParagraph"/>
        <w:numPr>
          <w:ilvl w:val="0"/>
          <w:numId w:val="2"/>
        </w:numPr>
      </w:pPr>
      <w:r>
        <w:t xml:space="preserve">2004 – Toronto Enwave Deep Lake Water Cooling (large-scale district system).</w:t>
      </w:r>
    </w:p>
    <w:p>
      <w:pPr>
        <w:spacing w:after="120" w:before="120"/>
      </w:pPr>
      <w:r>
        <w:t xml:space="preserve">The first commercial direct SWAC system in a hot tropical climate was the InterContinental Thalasso Resort in Bora Bora (2006). Maturity of the technology was enabled by advances in large-diameter HDPE pipelines installed at great depths (Makai Ocean Engineering, later Geocean).</w:t>
      </w:r>
    </w:p>
    <w:p>
      <w:pPr>
        <w:pStyle w:val="Heading1"/>
      </w:pPr>
      <w:r>
        <w:t xml:space="preserve">3. Technical Architecture</w:t>
      </w:r>
    </w:p>
    <w:p>
      <w:pPr>
        <w:pStyle w:val="Heading2"/>
      </w:pPr>
      <w:r>
        <w:t xml:space="preserve">3.1 Main Components</w:t>
      </w:r>
    </w:p>
    <w:p>
      <w:pPr>
        <w:pStyle w:val="ListParagraph"/>
        <w:numPr>
          <w:ilvl w:val="0"/>
          <w:numId w:val="2"/>
        </w:numPr>
      </w:pPr>
      <w:r>
        <w:rPr>
          <w:b/>
          <w:bCs/>
        </w:rPr>
        <w:t xml:space="preserve">Intake pipeline: </w:t>
      </w:r>
      <w:r>
        <w:t xml:space="preserve">HDPE pipe (diameters 300–1,600+ mm, lengths 2–6 km), concrete anchors or piles, capable of slopes up to 60°.</w:t>
      </w:r>
    </w:p>
    <w:p>
      <w:pPr>
        <w:pStyle w:val="ListParagraph"/>
        <w:numPr>
          <w:ilvl w:val="0"/>
          <w:numId w:val="2"/>
        </w:numPr>
      </w:pPr>
      <w:r>
        <w:rPr>
          <w:b/>
          <w:bCs/>
        </w:rPr>
        <w:t xml:space="preserve">Coastal technical station: </w:t>
      </w:r>
      <w:r>
        <w:t xml:space="preserve">316L stainless-steel pumps in parallel configuration and titanium counter-flow plate heat exchangers.</w:t>
      </w:r>
    </w:p>
    <w:p>
      <w:pPr>
        <w:pStyle w:val="ListParagraph"/>
        <w:numPr>
          <w:ilvl w:val="0"/>
          <w:numId w:val="2"/>
        </w:numPr>
      </w:pPr>
      <w:r>
        <w:rPr>
          <w:b/>
          <w:bCs/>
        </w:rPr>
        <w:t xml:space="preserve">Secondary chilled-water circuit: </w:t>
      </w:r>
      <w:r>
        <w:t xml:space="preserve">Building or district distribution loop.</w:t>
      </w:r>
    </w:p>
    <w:p>
      <w:pPr>
        <w:pStyle w:val="ListParagraph"/>
        <w:numPr>
          <w:ilvl w:val="0"/>
          <w:numId w:val="2"/>
        </w:numPr>
      </w:pPr>
      <w:r>
        <w:rPr>
          <w:b/>
          <w:bCs/>
        </w:rPr>
        <w:t xml:space="preserve">Return pipeline with multiport diffuser: </w:t>
      </w:r>
      <w:r>
        <w:t xml:space="preserve">Discharge typically at 30–120 m depth to ensure rapid dilution.</w:t>
      </w:r>
    </w:p>
    <w:p>
      <w:pPr>
        <w:spacing w:after="120" w:before="120"/>
      </w:pPr>
      <w:r>
        <w:rPr>
          <w:b/>
          <w:bCs/>
        </w:rPr>
        <w:t xml:space="preserve">Key materials: </w:t>
      </w:r>
      <w:r>
        <w:t xml:space="preserve">HDPE is preferred for pipelines due to chemical inertness, corrosion resistance, fused joints as strong as the pipe itself, buoyancy facilitating deployment (onshore assembly, float-out, controlled submersion), and design life of 50–75 years. Titanium is mandatory for heat exchangers to resist seawater corrosion and minimize fouling, benefiting from the purity of deep ocean water.</w:t>
      </w:r>
    </w:p>
    <w:p>
      <w:pPr>
        <w:pStyle w:val="Heading1"/>
      </w:pPr>
      <w:r>
        <w:t xml:space="preserve">4. Energy Performance (Operational Data)</w:t>
      </w:r>
    </w:p>
    <w:p>
      <w:pPr>
        <w:spacing w:after="120"/>
      </w:pPr>
      <w:r>
        <w:t xml:space="preserve">Performance data are drawn from instrumented French Polynesian installations (Lucas &amp; Sanjivy, 2024; Sanjivy et al., 2023):</w:t>
      </w:r>
    </w:p>
    <w:p>
      <w:pPr>
        <w:pStyle w:val="ListParagraph"/>
        <w:numPr>
          <w:ilvl w:val="0"/>
          <w:numId w:val="2"/>
        </w:numPr>
      </w:pPr>
      <w:r>
        <w:rPr>
          <w:b/>
          <w:bCs/>
        </w:rPr>
        <w:t xml:space="preserve">Primary EER/COP </w:t>
      </w:r>
      <w:r>
        <w:t xml:space="preserve">(cooling / primary pump power): 75–180 (peaks &gt; 200).</w:t>
      </w:r>
    </w:p>
    <w:p>
      <w:pPr>
        <w:pStyle w:val="ListParagraph"/>
        <w:numPr>
          <w:ilvl w:val="0"/>
          <w:numId w:val="2"/>
        </w:numPr>
      </w:pPr>
      <w:r>
        <w:rPr>
          <w:b/>
          <w:bCs/>
        </w:rPr>
        <w:t xml:space="preserve">Global EER/COP </w:t>
      </w:r>
      <w:r>
        <w:t xml:space="preserve">(including secondary distribution): 15–40.</w:t>
      </w:r>
    </w:p>
    <w:p>
      <w:pPr>
        <w:pStyle w:val="ListParagraph"/>
        <w:numPr>
          <w:ilvl w:val="0"/>
          <w:numId w:val="2"/>
        </w:numPr>
      </w:pPr>
      <w:r>
        <w:rPr>
          <w:b/>
          <w:bCs/>
        </w:rPr>
        <w:t xml:space="preserve">Seasonal SEER (global): </w:t>
      </w:r>
      <w:r>
        <w:t xml:space="preserve">≈ 25–26.6 (versus ≈ 3–4.5 for conventional chillers).</w:t>
      </w:r>
    </w:p>
    <w:p>
      <w:pPr>
        <w:pStyle w:val="ListParagraph"/>
        <w:numPr>
          <w:ilvl w:val="0"/>
          <w:numId w:val="2"/>
        </w:numPr>
      </w:pPr>
      <w:r>
        <w:rPr>
          <w:b/>
          <w:bCs/>
        </w:rPr>
        <w:t xml:space="preserve">Electricity consumption reduction: </w:t>
      </w:r>
      <w:r>
        <w:t xml:space="preserve">80–90 %+ (example: CHPF Tahiti – electrical power dropped from ≈ 1,025 kW with chillers to ≈ 106 kW with pumps).</w:t>
      </w:r>
    </w:p>
    <w:p>
      <w:pPr>
        <w:pStyle w:val="ListParagraph"/>
        <w:numPr>
          <w:ilvl w:val="0"/>
          <w:numId w:val="2"/>
        </w:numPr>
      </w:pPr>
      <w:r>
        <w:rPr>
          <w:b/>
          <w:bCs/>
        </w:rPr>
        <w:t xml:space="preserve">Observed capacity factors: </w:t>
      </w:r>
      <w:r>
        <w:t xml:space="preserve">28–46 % (variable hotel/hospital loads; improvable with storage or advanced controls).</w:t>
      </w:r>
    </w:p>
    <w:p>
      <w:pPr>
        <w:spacing w:after="120" w:before="120"/>
      </w:pPr>
      <w:r>
        <w:t xml:space="preserve">Levelized Cost of Energy (LCOE) observed in the range 0.06–0.15 USD/kWh depending on scale and local conditions. Lifecycle cost savings are very substantial, especially in island contexts with high electricity tariffs.</w:t>
      </w:r>
    </w:p>
    <w:p>
      <w:pPr>
        <w:pStyle w:val="Heading1"/>
      </w:pPr>
      <w:r>
        <w:t xml:space="preserve">5. Existing Installations and Projects</w:t>
      </w:r>
    </w:p>
    <w:p>
      <w:pPr>
        <w:pStyle w:val="Heading2"/>
      </w:pPr>
      <w:r>
        <w:t xml:space="preserve">5.1 Operational Direct Tropical SWAC Systems</w:t>
      </w:r>
    </w:p>
    <w:p>
      <w:pPr>
        <w:spacing w:after="120"/>
      </w:pPr>
      <w:r>
        <w:t xml:space="preserve">As of 2026, the only industrial-scale direct SWAC systems operating in hot tropical climates are located in French Polynesia:</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1400"/>
        <w:gridCol w:w="1600"/>
        <w:gridCol w:w="1800"/>
        <w:gridCol w:w="1600"/>
        <w:gridCol w:w="1480"/>
      </w:tblGrid>
      <w:tr>
        <w:tc>
          <w:tcPr>
            <w:tcW w:type="dxa" w:w="22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tcPr>
          <w:p>
            <w:pPr>
              <w:jc w:val="center"/>
            </w:pPr>
            <w:r>
              <w:rPr>
                <w:rFonts w:ascii="Arial" w:cs="Arial" w:eastAsia="Arial" w:hAnsi="Arial"/>
                <w:b/>
                <w:bCs/>
                <w:color w:val="FFFFFF"/>
                <w:sz w:val="20"/>
                <w:szCs w:val="20"/>
              </w:rPr>
              <w:t xml:space="preserve">Installation</w:t>
            </w:r>
          </w:p>
        </w:tc>
        <w:tc>
          <w:tcPr>
            <w:tcW w:type="dxa" w:w="14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tcPr>
          <w:p>
            <w:pPr>
              <w:jc w:val="center"/>
            </w:pPr>
            <w:r>
              <w:rPr>
                <w:rFonts w:ascii="Arial" w:cs="Arial" w:eastAsia="Arial" w:hAnsi="Arial"/>
                <w:b/>
                <w:bCs/>
                <w:color w:val="FFFFFF"/>
                <w:sz w:val="20"/>
                <w:szCs w:val="20"/>
              </w:rPr>
              <w:t xml:space="preserve">Year</w:t>
            </w:r>
          </w:p>
        </w:tc>
        <w:tc>
          <w:tcPr>
            <w:tcW w:type="dxa" w:w="16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tcPr>
          <w:p>
            <w:pPr>
              <w:jc w:val="center"/>
            </w:pPr>
            <w:r>
              <w:rPr>
                <w:rFonts w:ascii="Arial" w:cs="Arial" w:eastAsia="Arial" w:hAnsi="Arial"/>
                <w:b/>
                <w:bCs/>
                <w:color w:val="FFFFFF"/>
                <w:sz w:val="20"/>
                <w:szCs w:val="20"/>
              </w:rPr>
              <w:t xml:space="preserve">Depth</w:t>
            </w:r>
          </w:p>
        </w:tc>
        <w:tc>
          <w:tcPr>
            <w:tcW w:type="dxa" w:w="18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tcPr>
          <w:p>
            <w:pPr>
              <w:jc w:val="center"/>
            </w:pPr>
            <w:r>
              <w:rPr>
                <w:rFonts w:ascii="Arial" w:cs="Arial" w:eastAsia="Arial" w:hAnsi="Arial"/>
                <w:b/>
                <w:bCs/>
                <w:color w:val="FFFFFF"/>
                <w:sz w:val="20"/>
                <w:szCs w:val="20"/>
              </w:rPr>
              <w:t xml:space="preserve">Pipe Length / Ø</w:t>
            </w:r>
          </w:p>
        </w:tc>
        <w:tc>
          <w:tcPr>
            <w:tcW w:type="dxa" w:w="160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tcPr>
          <w:p>
            <w:pPr>
              <w:jc w:val="center"/>
            </w:pPr>
            <w:r>
              <w:rPr>
                <w:rFonts w:ascii="Arial" w:cs="Arial" w:eastAsia="Arial" w:hAnsi="Arial"/>
                <w:b/>
                <w:bCs/>
                <w:color w:val="FFFFFF"/>
                <w:sz w:val="20"/>
                <w:szCs w:val="20"/>
              </w:rPr>
              <w:t xml:space="preserve">Cooling Power</w:t>
            </w:r>
          </w:p>
        </w:tc>
        <w:tc>
          <w:tcPr>
            <w:tcW w:type="dxa" w:w="1480"/>
            <w:tcBorders>
              <w:top w:val="single" w:color="1F4E79" w:sz="1"/>
              <w:left w:val="single" w:color="1F4E79" w:sz="1"/>
              <w:bottom w:val="single" w:color="1F4E79" w:sz="1"/>
              <w:right w:val="single" w:color="1F4E79" w:sz="1"/>
            </w:tcBorders>
            <w:shd w:fill="1F4E79" w:val="clear"/>
            <w:tcMar>
              <w:top w:type="dxa" w:w="60"/>
              <w:left w:type="dxa" w:w="80"/>
              <w:bottom w:type="dxa" w:w="60"/>
              <w:right w:type="dxa" w:w="80"/>
            </w:tcMar>
          </w:tcPr>
          <w:p>
            <w:pPr>
              <w:jc w:val="center"/>
            </w:pPr>
            <w:r>
              <w:rPr>
                <w:rFonts w:ascii="Arial" w:cs="Arial" w:eastAsia="Arial" w:hAnsi="Arial"/>
                <w:b/>
                <w:bCs/>
                <w:color w:val="FFFFFF"/>
                <w:sz w:val="20"/>
                <w:szCs w:val="20"/>
              </w:rPr>
              <w:t xml:space="preserve">Contractor</w:t>
            </w:r>
          </w:p>
        </w:tc>
      </w:tr>
      <w:tr>
        <w:tc>
          <w:tcPr>
            <w:tcW w:type="dxa" w:w="22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color w:val="000000"/>
                <w:sz w:val="18"/>
                <w:szCs w:val="18"/>
              </w:rPr>
              <w:t xml:space="preserve">InterContinental Thalasso Bora Bora</w:t>
            </w:r>
          </w:p>
        </w:tc>
        <w:tc>
          <w:tcPr>
            <w:tcW w:type="dxa" w:w="14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2006</w:t>
            </w:r>
          </w:p>
        </w:tc>
        <w:tc>
          <w:tcPr>
            <w:tcW w:type="dxa" w:w="16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−915 m</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2,300 m / 400 mm</w:t>
            </w:r>
          </w:p>
        </w:tc>
        <w:tc>
          <w:tcPr>
            <w:tcW w:type="dxa" w:w="16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1.6 MW</w:t>
            </w:r>
          </w:p>
        </w:tc>
        <w:tc>
          <w:tcPr>
            <w:tcW w:type="dxa" w:w="148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Makai</w:t>
            </w:r>
          </w:p>
        </w:tc>
      </w:tr>
      <w:tr>
        <w:tc>
          <w:tcPr>
            <w:tcW w:type="dxa" w:w="22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color w:val="000000"/>
                <w:sz w:val="18"/>
                <w:szCs w:val="18"/>
              </w:rPr>
              <w:t xml:space="preserve">The Brando, Tetiaroa</w:t>
            </w:r>
          </w:p>
        </w:tc>
        <w:tc>
          <w:tcPr>
            <w:tcW w:type="dxa" w:w="14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2011/2014</w:t>
            </w:r>
          </w:p>
        </w:tc>
        <w:tc>
          <w:tcPr>
            <w:tcW w:type="dxa" w:w="16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−960 m</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2,618 m / ~370 mm</w:t>
            </w:r>
          </w:p>
        </w:tc>
        <w:tc>
          <w:tcPr>
            <w:tcW w:type="dxa" w:w="16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2.4 MW</w:t>
            </w:r>
          </w:p>
        </w:tc>
        <w:tc>
          <w:tcPr>
            <w:tcW w:type="dxa" w:w="148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Geocean</w:t>
            </w:r>
          </w:p>
        </w:tc>
      </w:tr>
      <w:tr>
        <w:tc>
          <w:tcPr>
            <w:tcW w:type="dxa" w:w="22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left"/>
            </w:pPr>
            <w:r>
              <w:rPr>
                <w:rFonts w:ascii="Arial" w:cs="Arial" w:eastAsia="Arial" w:hAnsi="Arial"/>
                <w:b w:val="false"/>
                <w:bCs w:val="false"/>
                <w:color w:val="000000"/>
                <w:sz w:val="18"/>
                <w:szCs w:val="18"/>
              </w:rPr>
              <w:t xml:space="preserve">CHPF Taone Hospital, Tahiti</w:t>
            </w:r>
          </w:p>
        </w:tc>
        <w:tc>
          <w:tcPr>
            <w:tcW w:type="dxa" w:w="14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2021–2022</w:t>
            </w:r>
          </w:p>
        </w:tc>
        <w:tc>
          <w:tcPr>
            <w:tcW w:type="dxa" w:w="16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−900 m</w:t>
            </w:r>
          </w:p>
        </w:tc>
        <w:tc>
          <w:tcPr>
            <w:tcW w:type="dxa" w:w="18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3,800–4,300 m / 710 mm</w:t>
            </w:r>
          </w:p>
        </w:tc>
        <w:tc>
          <w:tcPr>
            <w:tcW w:type="dxa" w:w="160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6 MW (largest)</w:t>
            </w:r>
          </w:p>
        </w:tc>
        <w:tc>
          <w:tcPr>
            <w:tcW w:type="dxa" w:w="1480"/>
            <w:tcBorders>
              <w:top w:val="single" w:color="CCCCCC" w:sz="1"/>
              <w:left w:val="single" w:color="CCCCCC" w:sz="1"/>
              <w:bottom w:val="single" w:color="CCCCCC" w:sz="1"/>
              <w:right w:val="single" w:color="CCCCCC" w:sz="1"/>
            </w:tcBorders>
            <w:tcMar>
              <w:top w:type="dxa" w:w="60"/>
              <w:left w:type="dxa" w:w="80"/>
              <w:bottom w:type="dxa" w:w="60"/>
              <w:right w:type="dxa" w:w="80"/>
            </w:tcMar>
          </w:tcPr>
          <w:p>
            <w:pPr>
              <w:jc w:val="center"/>
            </w:pPr>
            <w:r>
              <w:rPr>
                <w:rFonts w:ascii="Arial" w:cs="Arial" w:eastAsia="Arial" w:hAnsi="Arial"/>
                <w:b w:val="false"/>
                <w:bCs w:val="false"/>
                <w:color w:val="000000"/>
                <w:sz w:val="18"/>
                <w:szCs w:val="18"/>
              </w:rPr>
              <w:t xml:space="preserve">Geocean</w:t>
            </w:r>
          </w:p>
        </w:tc>
      </w:tr>
    </w:tbl>
    <w:p>
      <w:pPr>
        <w:spacing w:after="120" w:before="160"/>
      </w:pPr>
      <w:r>
        <w:t xml:space="preserve">The CHPF system achieves annual savings of approximately 8.7–9 GWh of electricity and ~5,000 t CO₂. Financing involved AFD, EIB, ADEME and the Government of French Polynesia.</w:t>
      </w:r>
    </w:p>
    <w:p>
      <w:pPr>
        <w:pStyle w:val="Heading2"/>
      </w:pPr>
      <w:r>
        <w:t xml:space="preserve">5.2 Analogous Systems (Lake or Shallow Water)</w:t>
      </w:r>
    </w:p>
    <w:p>
      <w:pPr>
        <w:pStyle w:val="ListParagraph"/>
        <w:numPr>
          <w:ilvl w:val="0"/>
          <w:numId w:val="2"/>
        </w:numPr>
      </w:pPr>
      <w:r>
        <w:t xml:space="preserve">Cornell University Lake Source Cooling (2000) – ~20,000 RT, ~87 % electricity reduction.</w:t>
      </w:r>
    </w:p>
    <w:p>
      <w:pPr>
        <w:pStyle w:val="ListParagraph"/>
        <w:numPr>
          <w:ilvl w:val="0"/>
          <w:numId w:val="2"/>
        </w:numPr>
      </w:pPr>
      <w:r>
        <w:t xml:space="preserve">Toronto Enwave Deep Lake Water Cooling (2004 onward) – up to 58,000–140 MW capacity phases.</w:t>
      </w:r>
    </w:p>
    <w:p>
      <w:pPr>
        <w:pStyle w:val="ListParagraph"/>
        <w:numPr>
          <w:ilvl w:val="0"/>
          <w:numId w:val="2"/>
        </w:numPr>
      </w:pPr>
      <w:r>
        <w:t xml:space="preserve">Stockholm district cooling and NELHA Hawaii installations (since the 1980s).</w:t>
      </w:r>
    </w:p>
    <w:p>
      <w:pPr>
        <w:pStyle w:val="Heading2"/>
      </w:pPr>
      <w:r>
        <w:t xml:space="preserve">5.3 Projects under Study or Development</w:t>
      </w:r>
    </w:p>
    <w:p>
      <w:pPr>
        <w:pStyle w:val="ListParagraph"/>
        <w:numPr>
          <w:ilvl w:val="0"/>
          <w:numId w:val="2"/>
        </w:numPr>
      </w:pPr>
      <w:r>
        <w:rPr>
          <w:b/>
          <w:bCs/>
        </w:rPr>
        <w:t xml:space="preserve">La Réunion (France): </w:t>
      </w:r>
      <w:r>
        <w:t xml:space="preserve">Several projects including CHU Sud hospital; OPTISWAC research program supported by ADEME.</w:t>
      </w:r>
    </w:p>
    <w:p>
      <w:pPr>
        <w:pStyle w:val="ListParagraph"/>
        <w:numPr>
          <w:ilvl w:val="0"/>
          <w:numId w:val="2"/>
        </w:numPr>
      </w:pPr>
      <w:r>
        <w:rPr>
          <w:b/>
          <w:bCs/>
        </w:rPr>
        <w:t xml:space="preserve">Caribbean (World Bank / ESMAP / AIRARO 2024 studies): </w:t>
      </w:r>
      <w:r>
        <w:t xml:space="preserve">Dominican Republic (Pedernales – 7,100 tons, ~70 MUSD CAPEX, 94.5 % electricity reduction); Jamaica (Sandals Runaway Bay – 854 tons, 16.5 MUSD, 92 %); Grenada (district 3,500 tons, 50 MUSD, 83 %+). Hurricane-resistant designs emphasized.</w:t>
      </w:r>
    </w:p>
    <w:p>
      <w:pPr>
        <w:pStyle w:val="ListParagraph"/>
        <w:numPr>
          <w:ilvl w:val="0"/>
          <w:numId w:val="2"/>
        </w:numPr>
      </w:pPr>
      <w:r>
        <w:t xml:space="preserve">Mauritius, additional Pacific/Indian Ocean sites, studies in Oman and elsewhere.</w:t>
      </w:r>
    </w:p>
    <w:p>
      <w:pPr>
        <w:pStyle w:val="ListParagraph"/>
        <w:numPr>
          <w:ilvl w:val="0"/>
          <w:numId w:val="2"/>
        </w:numPr>
      </w:pPr>
      <w:r>
        <w:t xml:space="preserve">Honolulu SWAC project: advanced through EIS and permitting but terminated around 2020 due to rising costs.</w:t>
      </w:r>
    </w:p>
    <w:p>
      <w:pPr>
        <w:pStyle w:val="Heading1"/>
      </w:pPr>
      <w:r>
        <w:t xml:space="preserve">6. Advantages, Disadvantages, Environmental and Economic Impacts</w:t>
      </w:r>
    </w:p>
    <w:p>
      <w:pPr>
        <w:pStyle w:val="Heading2"/>
      </w:pPr>
      <w:r>
        <w:t xml:space="preserve">6.1 Advantages</w:t>
      </w:r>
    </w:p>
    <w:p>
      <w:pPr>
        <w:pStyle w:val="ListParagraph"/>
        <w:numPr>
          <w:ilvl w:val="0"/>
          <w:numId w:val="2"/>
        </w:numPr>
      </w:pPr>
      <w:r>
        <w:t xml:space="preserve">Extreme energy efficiency and partial independence from electricity price volatility.</w:t>
      </w:r>
    </w:p>
    <w:p>
      <w:pPr>
        <w:pStyle w:val="ListParagraph"/>
        <w:numPr>
          <w:ilvl w:val="0"/>
          <w:numId w:val="2"/>
        </w:numPr>
      </w:pPr>
      <w:r>
        <w:t xml:space="preserve">Elimination of high-GWP refrigerants.</w:t>
      </w:r>
    </w:p>
    <w:p>
      <w:pPr>
        <w:pStyle w:val="ListParagraph"/>
        <w:numPr>
          <w:ilvl w:val="0"/>
          <w:numId w:val="2"/>
        </w:numPr>
      </w:pPr>
      <w:r>
        <w:t xml:space="preserve">No potable-water consumption (no cooling towers).</w:t>
      </w:r>
    </w:p>
    <w:p>
      <w:pPr>
        <w:pStyle w:val="ListParagraph"/>
        <w:numPr>
          <w:ilvl w:val="0"/>
          <w:numId w:val="2"/>
        </w:numPr>
      </w:pPr>
      <w:r>
        <w:t xml:space="preserve">Proven long-term reliability and long equipment lifetime.</w:t>
      </w:r>
    </w:p>
    <w:p>
      <w:pPr>
        <w:pStyle w:val="ListParagraph"/>
        <w:numPr>
          <w:ilvl w:val="0"/>
          <w:numId w:val="2"/>
        </w:numPr>
      </w:pPr>
      <w:r>
        <w:t xml:space="preserve">Potential co-benefits: aquaculture, OTEC hybridization, desalination, data-center cooling.</w:t>
      </w:r>
    </w:p>
    <w:p>
      <w:pPr>
        <w:pStyle w:val="Heading2"/>
      </w:pPr>
      <w:r>
        <w:t xml:space="preserve">6.2 Disadvantages and Barriers</w:t>
      </w:r>
    </w:p>
    <w:p>
      <w:pPr>
        <w:pStyle w:val="ListParagraph"/>
        <w:numPr>
          <w:ilvl w:val="0"/>
          <w:numId w:val="2"/>
        </w:numPr>
      </w:pPr>
      <w:r>
        <w:rPr>
          <w:b/>
          <w:bCs/>
        </w:rPr>
        <w:t xml:space="preserve">High CAPEX: </w:t>
      </w:r>
      <w:r>
        <w:t xml:space="preserve">Marine pipeline is usually the dominant cost item (examples: Bora Bora ~5.5 M€, Tetiaroa ~10 M€, CHPF ~30–31 M€, Caribbean studies 16–70 MUSD).</w:t>
      </w:r>
    </w:p>
    <w:p>
      <w:pPr>
        <w:pStyle w:val="ListParagraph"/>
        <w:numPr>
          <w:ilvl w:val="0"/>
          <w:numId w:val="2"/>
        </w:numPr>
      </w:pPr>
      <w:r>
        <w:t xml:space="preserve">Requires favorable bathymetry (cold water close to shore) and concentrated, stable cooling demand.</w:t>
      </w:r>
    </w:p>
    <w:p>
      <w:pPr>
        <w:pStyle w:val="ListParagraph"/>
        <w:numPr>
          <w:ilvl w:val="0"/>
          <w:numId w:val="2"/>
        </w:numPr>
      </w:pPr>
      <w:r>
        <w:t xml:space="preserve">Complex marine permitting and offshore construction.</w:t>
      </w:r>
    </w:p>
    <w:p>
      <w:pPr>
        <w:pStyle w:val="ListParagraph"/>
        <w:numPr>
          <w:ilvl w:val="0"/>
          <w:numId w:val="2"/>
        </w:numPr>
      </w:pPr>
      <w:r>
        <w:t xml:space="preserve">Capacity factors can be low without thermal storage or advanced control.</w:t>
      </w:r>
    </w:p>
    <w:p>
      <w:pPr>
        <w:pStyle w:val="Heading2"/>
      </w:pPr>
      <w:r>
        <w:t xml:space="preserve">6.3 Environmental Impacts</w:t>
      </w:r>
    </w:p>
    <w:p>
      <w:pPr>
        <w:spacing w:after="80"/>
      </w:pPr>
      <w:r>
        <w:rPr>
          <w:b/>
          <w:bCs/>
        </w:rPr>
        <w:t xml:space="preserve">Major benefits: </w:t>
      </w:r>
      <w:r>
        <w:t xml:space="preserve">80–90 % reduction in electricity use for cooling translates into large GHG emission cuts (CHPF example: ~5,000 t CO₂/year avoided), elimination of refrigerants, reduced local air pollution, and water savings.</w:t>
      </w:r>
    </w:p>
    <w:p>
      <w:pPr>
        <w:spacing w:after="80"/>
      </w:pPr>
      <w:r>
        <w:rPr>
          <w:b/>
          <w:bCs/>
        </w:rPr>
        <w:t xml:space="preserve">Main risks: </w:t>
      </w:r>
      <w:r>
        <w:t xml:space="preserve">Discharge of nutrient-rich deep water into the photic zone can stimulate algal blooms and eutrophication (UHERO Hawaii mesocosm studies). Thermal shock if temperature differential or mixing is poorly managed. Entrainment of marine organisms at the intake (mitigated by screens). Temporary construction impacts on the seabed.</w:t>
      </w:r>
    </w:p>
    <w:p>
      <w:pPr>
        <w:spacing w:after="120"/>
      </w:pPr>
      <w:r>
        <w:rPr>
          <w:b/>
          <w:bCs/>
        </w:rPr>
        <w:t xml:space="preserve">Mitigation: </w:t>
      </w:r>
      <w:r>
        <w:t xml:space="preserve">Discharge at appropriate depth with multiport diffusers to achieve rapid dilution and temperature equilibration; systematic Environmental Impact Assessments; long-term monitoring of temperature, dissolved oxygen, nutrients and chlorophyll. Operational experience in Polynesia and the Caribbean indicates impacts are minimal to negligible when properly designed.</w:t>
      </w:r>
    </w:p>
    <w:p>
      <w:pPr>
        <w:pStyle w:val="Heading2"/>
      </w:pPr>
      <w:r>
        <w:t xml:space="preserve">6.4 Economics</w:t>
      </w:r>
    </w:p>
    <w:p>
      <w:pPr>
        <w:spacing w:after="120"/>
      </w:pPr>
      <w:r>
        <w:t xml:space="preserve">Typical simple payback ranges from 3 to 10 years depending on local electricity tariffs and utilization rate. Financing is frequently blended public–private (development banks, climate funds, green bonds). Costs are sensitive to bathymetry, system scale (district cooling benefits from economies of scale), and design optimizations (higher temperature regimes, flexible pipelines).</w:t>
      </w:r>
    </w:p>
    <w:p>
      <w:pPr>
        <w:pStyle w:val="Heading1"/>
      </w:pPr>
      <w:r>
        <w:t xml:space="preserve">7. State of Research and Innovations</w:t>
      </w:r>
    </w:p>
    <w:p>
      <w:pPr>
        <w:spacing w:after="120"/>
      </w:pPr>
      <w:r>
        <w:t xml:space="preserve">Key research groups (Sanjivy, Marc, Lucas – University of French Polynesia / University of La Réunion) have produced validated EnergyPlus + Python numerical models, performance optimization studies, global accessibility mapping of deep ocean water, and LCOE analyses based on real operational data.</w:t>
      </w:r>
    </w:p>
    <w:p>
      <w:pPr>
        <w:spacing w:after="120"/>
      </w:pPr>
      <w:r>
        <w:t xml:space="preserve">The EUROSWAC project (Interreg) explored flexible intake pipelines to reduce capital cost and open less favorable sites. Other active research directions include OTEC hybridization, advanced controls, climate-change effects on deep-water temperature profiles, standardization, and co-use pathways (aquaculture, data centers).</w:t>
      </w:r>
    </w:p>
    <w:p>
      <w:pPr>
        <w:pStyle w:val="Heading1"/>
      </w:pPr>
      <w:r>
        <w:t xml:space="preserve">8. Prospects and Worldwide Potential</w:t>
      </w:r>
    </w:p>
    <w:p>
      <w:pPr>
        <w:spacing w:after="120"/>
      </w:pPr>
      <w:r>
        <w:t xml:space="preserve">Global cooling demand is projected to triple by 2050. SWAC offers a high-impact solution for tropical and subtropical coastal zones with high cooling loads (Small Island Developing States, tourist destinations, hospitals, data centers). Optimizations such as higher chilled-water temperature regimes, flexible pipelines and 4th/5th-generation district cooling significantly expand the number of viable sites.</w:t>
      </w:r>
    </w:p>
    <w:p>
      <w:pPr>
        <w:spacing w:after="120"/>
      </w:pPr>
      <w:r>
        <w:t xml:space="preserve">French industrial leadership (Geocean / VINCI Construction) and European know-how can be leveraged for export markets. Policy support is growing through ADEME, AFD, EIB, ESMAP/World Bank and energy-climate plans of outermost regions.</w:t>
      </w:r>
    </w:p>
    <w:p>
      <w:pPr>
        <w:pStyle w:val="Heading1"/>
      </w:pPr>
      <w:r>
        <w:t xml:space="preserve">9. Key Actors</w:t>
      </w:r>
    </w:p>
    <w:p>
      <w:pPr>
        <w:pStyle w:val="ListParagraph"/>
        <w:numPr>
          <w:ilvl w:val="0"/>
          <w:numId w:val="2"/>
        </w:numPr>
      </w:pPr>
      <w:r>
        <w:rPr>
          <w:b/>
          <w:bCs/>
        </w:rPr>
        <w:t xml:space="preserve">Engineering / EPCI: </w:t>
      </w:r>
      <w:r>
        <w:t xml:space="preserve">Makai Ocean Engineering (USA – pioneer); Geocean (VINCI Construction, France – The Brando and CHPF realizations).</w:t>
      </w:r>
    </w:p>
    <w:p>
      <w:pPr>
        <w:pStyle w:val="ListParagraph"/>
        <w:numPr>
          <w:ilvl w:val="0"/>
          <w:numId w:val="2"/>
        </w:numPr>
      </w:pPr>
      <w:r>
        <w:rPr>
          <w:b/>
          <w:bCs/>
        </w:rPr>
        <w:t xml:space="preserve">Research: </w:t>
      </w:r>
      <w:r>
        <w:t xml:space="preserve">University of French Polynesia (GEPASUD), University of La Réunion, ADEME.</w:t>
      </w:r>
    </w:p>
    <w:p>
      <w:pPr>
        <w:pStyle w:val="ListParagraph"/>
        <w:numPr>
          <w:ilvl w:val="0"/>
          <w:numId w:val="2"/>
        </w:numPr>
      </w:pPr>
      <w:r>
        <w:rPr>
          <w:b/>
          <w:bCs/>
        </w:rPr>
        <w:t xml:space="preserve">Finance &amp; promotion: </w:t>
      </w:r>
      <w:r>
        <w:t xml:space="preserve">AFD, European Investment Bank, ESMAP/World Bank, Club SWAC France, PROBLUE.</w:t>
      </w:r>
    </w:p>
    <w:p>
      <w:pPr>
        <w:pStyle w:val="Heading1"/>
      </w:pPr>
      <w:r>
        <w:t xml:space="preserve">10. References (with URLs)</w:t>
      </w:r>
    </w:p>
    <w:p>
      <w:pPr>
        <w:spacing w:after="60"/>
      </w:pPr>
      <w:r>
        <w:rPr>
          <w:b/>
          <w:bCs/>
        </w:rPr>
        <w:t xml:space="preserve">1. </w:t>
      </w:r>
      <w:r>
        <w:t xml:space="preserve">Lucas F., Sanjivy K. (2024). Sea Water Air Conditioning (SWAC) Technology: Performance and Worldwide Potential. IntechOpen. </w:t>
      </w:r>
      <w:hyperlink w:history="1" r:id="rIdfzkdi7lwhah5w9hf4rn5o">
        <w:r>
          <w:rPr>
            <w:rStyle w:val="Hyperlink"/>
            <w:color w:val="0563C1"/>
            <w:u w:val="single"/>
          </w:rPr>
          <w:t xml:space="preserve">https://www.intechopen.com/chapters/1192910</w:t>
        </w:r>
      </w:hyperlink>
    </w:p>
    <w:p>
      <w:pPr>
        <w:spacing w:after="60"/>
      </w:pPr>
      <w:r>
        <w:rPr>
          <w:b/>
          <w:bCs/>
        </w:rPr>
        <w:t xml:space="preserve">2. </w:t>
      </w:r>
      <w:r>
        <w:t xml:space="preserve">Sanjivy K., Marc O., Davies N., Lucas F. (2023). Energy performance assessment of Sea Water Air Conditioning (SWAC) as a solution toward net zero carbon emissions: A case study in French Polynesia. Energy Reports. </w:t>
      </w:r>
      <w:hyperlink w:history="1" r:id="rIdmxcbc5bghrvl0aw_sc8nk">
        <w:r>
          <w:rPr>
            <w:rStyle w:val="Hyperlink"/>
            <w:color w:val="0563C1"/>
            <w:u w:val="single"/>
          </w:rPr>
          <w:t xml:space="preserve">https://www.sciencedirect.com/science/article/pii/S2352484722025884</w:t>
        </w:r>
      </w:hyperlink>
    </w:p>
    <w:p>
      <w:pPr>
        <w:spacing w:after="60"/>
      </w:pPr>
      <w:r>
        <w:rPr>
          <w:b/>
          <w:bCs/>
        </w:rPr>
        <w:t xml:space="preserve">3. </w:t>
      </w:r>
      <w:r>
        <w:t xml:space="preserve">Sanjivy K. et al. (2023). Sea Water Air Conditioning (SWAC): A Resilient and Sustainable Cooling Solution… AIVC Conference. </w:t>
      </w:r>
      <w:hyperlink w:history="1" r:id="rIdxj3vsdmb5fwfcyicuaboj">
        <w:r>
          <w:rPr>
            <w:rStyle w:val="Hyperlink"/>
            <w:color w:val="0563C1"/>
            <w:u w:val="single"/>
          </w:rPr>
          <w:t xml:space="preserve">https://www.aivc.org/sites/default/files/064.pdf</w:t>
        </w:r>
      </w:hyperlink>
    </w:p>
    <w:p>
      <w:pPr>
        <w:spacing w:after="60"/>
      </w:pPr>
      <w:r>
        <w:rPr>
          <w:b/>
          <w:bCs/>
        </w:rPr>
        <w:t xml:space="preserve">4. </w:t>
      </w:r>
      <w:r>
        <w:t xml:space="preserve">Makai Ocean Engineering – Seawater Air Conditioning. </w:t>
      </w:r>
      <w:hyperlink w:history="1" r:id="rIdmszy0goz2pevx0w8re3sn">
        <w:r>
          <w:rPr>
            <w:rStyle w:val="Hyperlink"/>
            <w:color w:val="0563C1"/>
            <w:u w:val="single"/>
          </w:rPr>
          <w:t xml:space="preserve">https://www.makai.com/swac-seawater-air-conditioning/</w:t>
        </w:r>
      </w:hyperlink>
    </w:p>
    <w:p>
      <w:pPr>
        <w:spacing w:after="60"/>
      </w:pPr>
      <w:r>
        <w:rPr>
          <w:b/>
          <w:bCs/>
        </w:rPr>
        <w:t xml:space="preserve">5. </w:t>
      </w:r>
      <w:r>
        <w:t xml:space="preserve">Makai brochure “Seawater Air Conditioning: A Basic Understanding”. </w:t>
      </w:r>
      <w:hyperlink w:history="1" r:id="rIdbrviphosnxvk2tnicw5x-">
        <w:r>
          <w:rPr>
            <w:rStyle w:val="Hyperlink"/>
            <w:color w:val="0563C1"/>
            <w:u w:val="single"/>
          </w:rPr>
          <w:t xml:space="preserve">https://www.makai.com/brochures/Seawater%20Air%20Conditioning%20by%20Makai.pdf</w:t>
        </w:r>
      </w:hyperlink>
    </w:p>
    <w:p>
      <w:pPr>
        <w:spacing w:after="60"/>
      </w:pPr>
      <w:r>
        <w:rPr>
          <w:b/>
          <w:bCs/>
        </w:rPr>
        <w:t xml:space="preserve">6. </w:t>
      </w:r>
      <w:r>
        <w:t xml:space="preserve">World Bank (2024). Sustainable cooling: A deep dive into seawater air-conditioning solutions for the Caribbean. </w:t>
      </w:r>
      <w:hyperlink w:history="1" r:id="rId6dxe4re8tl5ju6nxxepx1">
        <w:r>
          <w:rPr>
            <w:rStyle w:val="Hyperlink"/>
            <w:color w:val="0563C1"/>
            <w:u w:val="single"/>
          </w:rPr>
          <w:t xml:space="preserve">https://blogs.worldbank.org/en/latinamerica/sustainable-cooling--a-deep-dive-into-seawater-air-conditioning-</w:t>
        </w:r>
      </w:hyperlink>
    </w:p>
    <w:p>
      <w:pPr>
        <w:spacing w:after="60"/>
      </w:pPr>
      <w:r>
        <w:rPr>
          <w:b/>
          <w:bCs/>
        </w:rPr>
        <w:t xml:space="preserve">7. </w:t>
      </w:r>
      <w:r>
        <w:t xml:space="preserve">UHERO (2013). Potential Benefits, Impacts, and Public Opinion of Seawater Air Conditioning in Hawai‘i. </w:t>
      </w:r>
      <w:hyperlink w:history="1" r:id="rIdja0xgfd_gzmyd1ofejgc9">
        <w:r>
          <w:rPr>
            <w:rStyle w:val="Hyperlink"/>
            <w:color w:val="0563C1"/>
            <w:u w:val="single"/>
          </w:rPr>
          <w:t xml:space="preserve">https://uhero.hawaii.edu/wp-content/uploads/2019/08/SWACPublicReportFeb2013.pdf</w:t>
        </w:r>
      </w:hyperlink>
    </w:p>
    <w:p>
      <w:pPr>
        <w:spacing w:after="60"/>
      </w:pPr>
      <w:r>
        <w:rPr>
          <w:b/>
          <w:bCs/>
        </w:rPr>
        <w:t xml:space="preserve">8. </w:t>
      </w:r>
      <w:r>
        <w:t xml:space="preserve">ADEME – Article on CHPF Tahiti. </w:t>
      </w:r>
      <w:hyperlink w:history="1" r:id="rIdx0ndrg5l1w_w2zjr4omzh">
        <w:r>
          <w:rPr>
            <w:rStyle w:val="Hyperlink"/>
            <w:color w:val="0563C1"/>
            <w:u w:val="single"/>
          </w:rPr>
          <w:t xml:space="preserve">https://infos.ademe.fr/magazine-fevrier-2023/terrain/a-tahiti-leau-de-mer-rafraichit-lhopital/</w:t>
        </w:r>
      </w:hyperlink>
    </w:p>
    <w:p>
      <w:pPr>
        <w:spacing w:after="60"/>
      </w:pPr>
      <w:r>
        <w:rPr>
          <w:b/>
          <w:bCs/>
        </w:rPr>
        <w:t xml:space="preserve">9. </w:t>
      </w:r>
      <w:r>
        <w:t xml:space="preserve">Service des Énergies Polynésie – SWAC CHPF. </w:t>
      </w:r>
      <w:hyperlink w:history="1" r:id="rIdczkjy7nrp1ulnruvs604i">
        <w:r>
          <w:rPr>
            <w:rStyle w:val="Hyperlink"/>
            <w:color w:val="0563C1"/>
            <w:u w:val="single"/>
          </w:rPr>
          <w:t xml:space="preserve">https://www.service-public.pf/sde/2022/07/27/swac/</w:t>
        </w:r>
      </w:hyperlink>
    </w:p>
    <w:p>
      <w:pPr>
        <w:spacing w:after="60"/>
      </w:pPr>
      <w:r>
        <w:rPr>
          <w:b/>
          <w:bCs/>
        </w:rPr>
        <w:t xml:space="preserve">10. </w:t>
      </w:r>
      <w:r>
        <w:t xml:space="preserve">Geocean – SWAC realizations. </w:t>
      </w:r>
      <w:hyperlink w:history="1" r:id="rIdcj15zmxzcjnczesl0twpn">
        <w:r>
          <w:rPr>
            <w:rStyle w:val="Hyperlink"/>
            <w:color w:val="0563C1"/>
            <w:u w:val="single"/>
          </w:rPr>
          <w:t xml:space="preserve">https://www.geocean.com/</w:t>
        </w:r>
      </w:hyperlink>
    </w:p>
    <w:p>
      <w:pPr>
        <w:spacing w:after="60"/>
      </w:pPr>
      <w:r>
        <w:rPr>
          <w:b/>
          <w:bCs/>
        </w:rPr>
        <w:t xml:space="preserve">11. </w:t>
      </w:r>
      <w:r>
        <w:t xml:space="preserve">EUROSWAC project. </w:t>
      </w:r>
      <w:hyperlink w:history="1" r:id="rId8u5wykuitzaguc4eosdyt">
        <w:r>
          <w:rPr>
            <w:rStyle w:val="Hyperlink"/>
            <w:color w:val="0563C1"/>
            <w:u w:val="single"/>
          </w:rPr>
          <w:t xml:space="preserve">https://euroswac.fr/</w:t>
        </w:r>
      </w:hyperlink>
    </w:p>
    <w:p>
      <w:pPr>
        <w:spacing w:after="60"/>
      </w:pPr>
      <w:r>
        <w:rPr>
          <w:b/>
          <w:bCs/>
        </w:rPr>
        <w:t xml:space="preserve">12. </w:t>
      </w:r>
      <w:r>
        <w:t xml:space="preserve">ESMAP / 2024 SWAC presentations. </w:t>
      </w:r>
      <w:hyperlink w:history="1" r:id="rIdvpiql_gbl5vzpeyzoswsv">
        <w:r>
          <w:rPr>
            <w:rStyle w:val="Hyperlink"/>
            <w:color w:val="0563C1"/>
            <w:u w:val="single"/>
          </w:rPr>
          <w:t xml:space="preserve">https://www.esmap.org/sites/default/files/2022/Presentations/SWAC-J-Coony-R-Johnson-Event-Oct-2024.pdf</w:t>
        </w:r>
      </w:hyperlink>
    </w:p>
    <w:p>
      <w:pPr>
        <w:spacing w:after="60"/>
      </w:pPr>
      <w:r>
        <w:rPr>
          <w:b/>
          <w:bCs/>
        </w:rPr>
        <w:t xml:space="preserve">13. </w:t>
      </w:r>
      <w:r>
        <w:t xml:space="preserve">CMEMS / Deprofundis use-case. </w:t>
      </w:r>
      <w:hyperlink w:history="1" r:id="rIdezrqkedh08nbisbeiwwsd">
        <w:r>
          <w:rPr>
            <w:rStyle w:val="Hyperlink"/>
            <w:color w:val="0563C1"/>
            <w:u w:val="single"/>
          </w:rPr>
          <w:t xml:space="preserve">https://marine.copernicus.eu/services/use-cases/seawater-air-conditioning-system-implementation</w:t>
        </w:r>
      </w:hyperlink>
    </w:p>
    <w:p>
      <w:pPr>
        <w:spacing w:after="60"/>
      </w:pPr>
      <w:r>
        <w:rPr>
          <w:b/>
          <w:bCs/>
        </w:rPr>
        <w:t xml:space="preserve">14. </w:t>
      </w:r>
      <w:r>
        <w:t xml:space="preserve">Additional Sanjivy et al. papers (optimization 2025, global accessibility 2024) – available via ScienceDirect, HAL and ResearchGate.</w:t>
      </w:r>
    </w:p>
    <w:p>
      <w:pPr>
        <w:spacing w:after="60"/>
      </w:pPr>
      <w:r>
        <w:rPr>
          <w:b/>
          <w:bCs/>
        </w:rPr>
        <w:t xml:space="preserve">15. </w:t>
      </w:r>
      <w:r>
        <w:t xml:space="preserve">Club SWAC France and related institutional reports.</w:t>
      </w:r>
    </w:p>
    <w:p>
      <w:pPr>
        <w:spacing w:before="400"/>
      </w:pPr>
    </w:p>
    <w:p>
      <w:pPr>
        <w:pBdr>
          <w:top w:val="single" w:color="1F4E79" w:sz="6" w:space="8"/>
        </w:pBdr>
        <w:spacing w:before="200"/>
        <w:jc w:val="center"/>
      </w:pPr>
      <w:r>
        <w:rPr>
          <w:rFonts w:ascii="Arial" w:cs="Arial" w:eastAsia="Arial" w:hAnsi="Arial"/>
          <w:b/>
          <w:bCs/>
          <w:color w:val="1F4E79"/>
          <w:sz w:val="20"/>
          <w:szCs w:val="20"/>
        </w:rPr>
        <w:t xml:space="preserve">End of Dossier</w:t>
      </w:r>
    </w:p>
    <w:p>
      <w:pPr>
        <w:spacing w:before="100"/>
        <w:jc w:val="center"/>
      </w:pPr>
      <w:r>
        <w:rPr>
          <w:rFonts w:ascii="Arial" w:cs="Arial" w:eastAsia="Arial" w:hAnsi="Arial"/>
          <w:i/>
          <w:iCs/>
          <w:color w:val="555555"/>
          <w:sz w:val="18"/>
          <w:szCs w:val="18"/>
        </w:rPr>
        <w:t xml:space="preserve">This document synthesizes the state of the art as of August 2026 on the basis of operational data (2022–2026) and the most recent scientific and institutional analyses. Real-world performance confirms the disruptive potential of SWAC in favorable contexts, subject to control of CAPEX and discharge impacts.</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t xml:space="preserve">Page </w:t>
    </w:r>
    <w:r>
      <w:rPr>
        <w:rFonts w:ascii="Arial" w:cs="Arial" w:eastAsia="Arial" w:hAnsi="Arial"/>
        <w:sz w:val="18"/>
        <w:szCs w:val="18"/>
      </w:rPr>
      <w:fldChar w:fldCharType="begin"/>
      <w:instrText xml:space="preserve">PAGE</w:instrText>
      <w:fldChar w:fldCharType="separate"/>
      <w:fldChar w:fldCharType="end"/>
    </w:r>
    <w:r>
      <w:rPr>
        <w:rFonts w:ascii="Arial" w:cs="Arial" w:eastAsia="Arial" w:hAnsi="Arial"/>
        <w:color w:val="666666"/>
        <w:sz w:val="18"/>
        <w:szCs w:val="18"/>
      </w:rPr>
      <w:t xml:space="preserve"> | Confidential – Technical Dossier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pPr>
    <w:r>
      <w:rPr>
        <w:rFonts w:ascii="Arial" w:cs="Arial" w:eastAsia="Arial" w:hAnsi="Arial"/>
        <w:i/>
        <w:iCs/>
        <w:color w:val="666666"/>
        <w:sz w:val="18"/>
        <w:szCs w:val="18"/>
      </w:rPr>
      <w:t xml:space="preserve">State of the Art – Sea Water Air Conditioning (SWAC)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 w:type="paragraph" w:styleId="Heading3">
    <w:name w:val="Heading 3"/>
    <w:basedOn w:val="Normal"/>
    <w:next w:val="Normal"/>
    <w:qFormat/>
    <w:pPr>
      <w:spacing w:after="120" w:before="200"/>
      <w:outlineLvl w:val="2"/>
    </w:pPr>
    <w:rPr>
      <w:rFonts w:ascii="Arial" w:cs="Arial" w:eastAsia="Arial" w:hAnsi="Arial"/>
      <w:b/>
      <w:bCs/>
      <w:color w:val="5B9BD5"/>
      <w:sz w:val="24"/>
      <w:szCs w:val="24"/>
    </w:rPr>
  </w:style>
  <w:style w:type="paragraph" w:styleId="Title">
    <w:name w:val="Title"/>
    <w:basedOn w:val="Normal"/>
    <w:qFormat/>
    <w:pPr>
      <w:spacing w:after="200" w:before="0"/>
      <w:jc w:val="center"/>
    </w:pPr>
    <w:rPr>
      <w:rFonts w:ascii="Arial" w:cs="Arial" w:eastAsia="Arial" w:hAnsi="Arial"/>
      <w:b/>
      <w:bCs/>
      <w:color w:val="1F4E79"/>
      <w:sz w:val="48"/>
      <w:szCs w:val="4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fzkdi7lwhah5w9hf4rn5o" Type="http://schemas.openxmlformats.org/officeDocument/2006/relationships/hyperlink" Target="https://www.intechopen.com/chapters/1192910" TargetMode="External"/><Relationship Id="rIdmxcbc5bghrvl0aw_sc8nk" Type="http://schemas.openxmlformats.org/officeDocument/2006/relationships/hyperlink" Target="https://www.sciencedirect.com/science/article/pii/S2352484722025884" TargetMode="External"/><Relationship Id="rIdxj3vsdmb5fwfcyicuaboj" Type="http://schemas.openxmlformats.org/officeDocument/2006/relationships/hyperlink" Target="https://www.aivc.org/sites/default/files/064.pdf" TargetMode="External"/><Relationship Id="rIdmszy0goz2pevx0w8re3sn" Type="http://schemas.openxmlformats.org/officeDocument/2006/relationships/hyperlink" Target="https://www.makai.com/swac-seawater-air-conditioning/" TargetMode="External"/><Relationship Id="rIdbrviphosnxvk2tnicw5x-" Type="http://schemas.openxmlformats.org/officeDocument/2006/relationships/hyperlink" Target="https://www.makai.com/brochures/Seawater%20Air%20Conditioning%20by%20Makai.pdf" TargetMode="External"/><Relationship Id="rId6dxe4re8tl5ju6nxxepx1" Type="http://schemas.openxmlformats.org/officeDocument/2006/relationships/hyperlink" Target="https://blogs.worldbank.org/en/latinamerica/sustainable-cooling--a-deep-dive-into-seawater-air-conditioning-" TargetMode="External"/><Relationship Id="rIdja0xgfd_gzmyd1ofejgc9" Type="http://schemas.openxmlformats.org/officeDocument/2006/relationships/hyperlink" Target="https://uhero.hawaii.edu/wp-content/uploads/2019/08/SWACPublicReportFeb2013.pdf" TargetMode="External"/><Relationship Id="rIdx0ndrg5l1w_w2zjr4omzh" Type="http://schemas.openxmlformats.org/officeDocument/2006/relationships/hyperlink" Target="https://infos.ademe.fr/magazine-fevrier-2023/terrain/a-tahiti-leau-de-mer-rafraichit-lhopital/" TargetMode="External"/><Relationship Id="rIdczkjy7nrp1ulnruvs604i" Type="http://schemas.openxmlformats.org/officeDocument/2006/relationships/hyperlink" Target="https://www.service-public.pf/sde/2022/07/27/swac/" TargetMode="External"/><Relationship Id="rIdcj15zmxzcjnczesl0twpn" Type="http://schemas.openxmlformats.org/officeDocument/2006/relationships/hyperlink" Target="https://www.geocean.com/" TargetMode="External"/><Relationship Id="rId8u5wykuitzaguc4eosdyt" Type="http://schemas.openxmlformats.org/officeDocument/2006/relationships/hyperlink" Target="https://euroswac.fr/" TargetMode="External"/><Relationship Id="rIdvpiql_gbl5vzpeyzoswsv" Type="http://schemas.openxmlformats.org/officeDocument/2006/relationships/hyperlink" Target="https://www.esmap.org/sites/default/files/2022/Presentations/SWAC-J-Coony-R-Johnson-Event-Oct-2024.pdf" TargetMode="External"/><Relationship Id="rIdezrqkedh08nbisbeiwwsd" Type="http://schemas.openxmlformats.org/officeDocument/2006/relationships/hyperlink" Target="https://marine.copernicus.eu/services/use-cases/seawater-air-conditioning-system-implementation" TargetMode="External"/><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2026-08-04T09:07:06.164Z</dcterms:created>
  <dcterms:modified xsi:type="dcterms:W3CDTF">2026-08-04T09:07:06.164Z</dcterms:modified>
</cp:coreProperties>
</file>

<file path=docProps/custom.xml><?xml version="1.0" encoding="utf-8"?>
<Properties xmlns="http://schemas.openxmlformats.org/officeDocument/2006/custom-properties" xmlns:vt="http://schemas.openxmlformats.org/officeDocument/2006/docPropsVTypes"/>
</file>