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Dossier de compilation</w:t>
      </w:r>
    </w:p>
    <w:p>
      <w:pPr>
        <w:spacing w:after="120"/>
        <w:jc w:val="center"/>
      </w:pPr>
      <w:r>
        <w:rPr>
          <w:b/>
          <w:bCs/>
          <w:sz w:val="28"/>
          <w:szCs w:val="28"/>
        </w:rPr>
        <w:t xml:space="preserve">Anti-collision et précision de position des puits</w:t>
      </w:r>
    </w:p>
    <w:p>
      <w:pPr>
        <w:spacing w:after="400"/>
        <w:jc w:val="center"/>
      </w:pPr>
      <w:r>
        <w:rPr>
          <w:i/>
          <w:iCs/>
          <w:color w:val="555555"/>
          <w:sz w:val="22"/>
          <w:szCs w:val="22"/>
        </w:rPr>
        <w:t xml:space="preserve">Histoire, méthodes nommées, transitions remarquables et raisons techniques</w:t>
      </w:r>
    </w:p>
    <w:p>
      <w:pPr>
        <w:spacing w:after="200"/>
      </w:pPr>
      <w:r>
        <w:rPr>
          <w:color w:val="666666"/>
          <w:sz w:val="18"/>
          <w:szCs w:val="18"/>
        </w:rPr>
        <w:t xml:space="preserve">Identifiant : YqVpd-AC-1G  |  Révision : 1G  |  Date : 24 août 2026</w:t>
      </w:r>
    </w:p>
    <w:p>
      <w:pPr>
        <w:spacing w:after="300"/>
      </w:pPr>
      <w:r>
        <w:rPr>
          <w:color w:val="666666"/>
          <w:sz w:val="18"/>
          <w:szCs w:val="18"/>
        </w:rPr>
        <w:t xml:space="preserve">Mots-clés : anti-collision, précision position puits, ISCWSA, facteur de séparation, ellipsoïde d’incertitude, modèle d’erreur, règle de séparation, XCL, densification forages</w:t>
      </w:r>
    </w:p>
    <w:p>
      <w:pPr>
        <w:pStyle w:val="Heading1"/>
      </w:pPr>
      <w:r>
        <w:t xml:space="preserve">1. Contexte et importance de la précision de position</w:t>
      </w:r>
    </w:p>
    <w:p>
      <w:pPr>
        <w:spacing w:after="200"/>
      </w:pPr>
      <w:r>
        <w:t xml:space="preserve">La position réelle d’un puits n’est jamais connue avec une certitude absolue. Les instruments de mesure (inclinaison, azimut, profondeur mesurée) sont sujets à des erreurs systématiques et aléatoires qui se propagent le long de la trajectoire. L’anti-collision consiste à garantir qu’un puits en cours de forage ne croise pas un puits voisin déjà existant. Cette garantie repose entièrement sur la qualité de l’estimation de l’incertitude de position. Une sous-estimation de l’incertitude crée un risque réel de collision ; une surestimation conduit à des espacements excessifs et à des pertes économiques. L’histoire de l’anti-collision est donc indissociable de l’histoire de la quantification de la précision de position.</w:t>
      </w:r>
    </w:p>
    <w:p>
      <w:pPr>
        <w:pStyle w:val="Heading1"/>
      </w:pPr>
      <w:r>
        <w:t xml:space="preserve">2. Évolution historique de la précision de position des puits</w:t>
      </w:r>
    </w:p>
    <w:p>
      <w:pPr>
        <w:spacing w:after="200"/>
      </w:pPr>
      <w:r>
        <w:t xml:space="preserve">Avant les années 1970 les instruments magnétiques à prise unique ou multiple et les premiers gyros fournissaient des orientations approximatives. Les incertitudes latérales atteignaient fréquemment plusieurs centaines de mètres en fond de trou. Les puits étaient alors suffisamment espacés pour que la collision reste un événement rare.</w:t>
      </w:r>
    </w:p>
    <w:p>
      <w:pPr>
        <w:spacing w:after="200"/>
      </w:pPr>
      <w:r>
        <w:t xml:space="preserve">L’apparition de la mesure en cours de forage (MWD) dans les années 1980, des gyros à enregistrement de surface puis à recherche du nord, et les premiers modèles d’erreurs systématiques de Wolff et de Wardt en 1981 ont réduit ces enveloppes. Pourtant chaque société utilisait encore ses propres hypothèses, rendant les comparaisons impossibles.</w:t>
      </w:r>
    </w:p>
    <w:p>
      <w:pPr>
        <w:spacing w:after="200"/>
      </w:pPr>
      <w:r>
        <w:t xml:space="preserve">En 1995 le comité ISCWSA (Industry Steering Committee on Wellbore Survey Accuracy) est créé pour standardiser la quantification de l’incertitude. Le premier modèle d’erreur MWD formalisé apparaît vers 2000 (SPE 67616). Les révisions successives intègrent de nouveaux termes : alignement de la garniture, interférence magnétique, déformation (sag), profondeur, références géomagnétiques améliorées. À la révision 5 (approuvée en 2019, publication complète 2020) apparaissent les termes de longueur de course étendue (XCL) qui capturent l’erreur de modèle liée à l’espacement des stations de mesure. Chaque révision affine la description de la réalité physique et permet de calculer des ellipsoïdes d’incertitude plus fiables autour de chaque station de trajectoire.</w:t>
      </w:r>
    </w:p>
    <w:p>
      <w:pPr>
        <w:spacing w:after="200"/>
      </w:pPr>
      <w:r>
        <w:t xml:space="preserve">Les outils modernes (gyros continus à six axes, corrections In-Field Referencing, analyse multi-stations, télémétrie de proximité active) ont encore réduit la taille réelle des ellipsoïdes dans de nombreux contextes, parfois jusqu’à quelques dizaines de mètres ou moins selon la profondeur et la qualité des corrections.</w:t>
      </w:r>
    </w:p>
    <w:p>
      <w:pPr>
        <w:pStyle w:val="Heading1"/>
      </w:pPr>
      <w:r>
        <w:t xml:space="preserve">3. Évolution des méthodes d’anti-collision nommées</w:t>
      </w:r>
    </w:p>
    <w:p>
      <w:pPr>
        <w:spacing w:after="200"/>
      </w:pPr>
      <w:r>
        <w:t xml:space="preserve">Les premières règles se contentaient d’une distance minimale centre à centre (règles de type S), ignorant l’incertitude de position. L’introduction des ellipsoïdes d’incertitude (EOU – Ellipse of Uncertainty) a permis de vérifier que les volumes d’incertitude de deux puits ne se chevauchent pas (règles de type E).</w:t>
      </w:r>
    </w:p>
    <w:p>
      <w:pPr>
        <w:spacing w:after="200"/>
      </w:pPr>
      <w:r>
        <w:t xml:space="preserve">Le facteur de séparation (Separation Factor, SF) quantifie ensuite le rapport entre la distance centre à centre et la somme des rayons d’incertitude dans la direction considérée (règles de type R). La méthode de la courbe pédale (pedal-curve method) affine ce calcul en tenant compte de l’orientation réelle des ellipses. Des approches probabilistes (type P) estiment directement la probabilité de collision.</w:t>
      </w:r>
    </w:p>
    <w:p>
      <w:pPr>
        <w:spacing w:after="200"/>
      </w:pPr>
      <w:r>
        <w:t xml:space="preserve">La règle de séparation recommandée par le comité ISCWSA, formalisée dans les travaux de 2017-2019 (SPE-187073-MS), combine ces éléments avec une marge de sécurité calibrée pour le risque HSE et exige en outre la prise en compte de l’incertitude projetée vers l’avant du forage. Elle transforme le facteur de séparation d’un indicateur local et disparate en un seuil décisionnel industriellement cohérent. Des variantes orientées (Oriented Separation Factor) et des méthodes de cylindre elliptique d’incertitude ont également été proposées pour réduire le caractère parfois trop conservateur de la méthode de la courbe pédale.</w:t>
      </w:r>
    </w:p>
    <w:p>
      <w:pPr>
        <w:spacing w:after="200"/>
      </w:pPr>
      <w:r>
        <w:t xml:space="preserve">Parallèlement, les outils de télémétrie de proximité active (ranging-while-drilling électromagnétique ou magnétique) permettent, dans les cas critiques (puits de secours, approches très proches), de mesurer directement la distance et la direction relatives, réduisant l’incertitude effective à l’échelle centimétrique.</w:t>
      </w:r>
    </w:p>
    <w:p>
      <w:pPr>
        <w:pStyle w:val="Heading1"/>
      </w:pPr>
      <w:r>
        <w:t xml:space="preserve">4. Transitions remarquables dans la précision de l’anti-collision</w:t>
      </w:r>
    </w:p>
    <w:p>
      <w:pPr>
        <w:spacing w:after="200"/>
      </w:pPr>
      <w:r>
        <w:t xml:space="preserve">Deux transitions se distinguent nettement. La première se situe autour de 1995-2000. Avant cette période chaque opérateur et chaque société de service calculait l’incertitude de position avec ses propres hypothèses, souvent confidentielles et difficilement comparables. La création du comité ISCWSA puis la publication du premier modèle d’erreur MWD standardisé ont imposé un langage commun. Pour la première fois les ellipsoïdes d’incertitude devenaient reproductibles d’un logiciel à l’autre et d’une compagnie à l’autre. L’anti-collision a cessé d’être une collection de règles maison pour devenir un calcul auditable fondé sur les mêmes sources d’erreur physiques.</w:t>
      </w:r>
    </w:p>
    <w:p>
      <w:pPr>
        <w:spacing w:after="200"/>
      </w:pPr>
      <w:r>
        <w:t xml:space="preserve">La seconde transition majeure apparaît entre 2017 et 2019 avec la formalisation de la règle de séparation recommandée par le comité ISCWSA. Jusqu’alors le facteur de séparation était calculé selon des formules variables, parfois optimistes, parfois excessivement conservatrices. La règle publiée unifie la méthode de la courbe pédale, fixe des paramètres de sécurité calibrés pour le risque HSE et impose la projection d’incertitude vers l’avant. À partir de ce moment la précision des calculs d’anti-collision devient comparable d’un projet à l’autre et d’une juridiction à l’autre.</w:t>
      </w:r>
    </w:p>
    <w:p>
      <w:pPr>
        <w:spacing w:after="200"/>
      </w:pPr>
      <w:r>
        <w:t xml:space="preserve">La révision 5 du modèle d’erreur (2019-2020), avec l’introduction des termes XCL, constitue un complément important : elle rend l’incertitude plus honnête lorsque les intervalles de mesure sont longs, évitant ainsi des calculs d’anti-collision trop optimistes fondés sur des trajectoires sous-échantillonnées.</w:t>
      </w:r>
    </w:p>
    <w:p>
      <w:pPr>
        <w:pStyle w:val="Heading1"/>
      </w:pPr>
      <w:r>
        <w:t xml:space="preserve">5. Raisons de poursuivre une précision plus élevée</w:t>
      </w:r>
    </w:p>
    <w:p>
      <w:pPr>
        <w:spacing w:after="200"/>
      </w:pPr>
      <w:r>
        <w:t xml:space="preserve">La densification des forages sur plateformes, pads multi-puits, forages horizontaux et multilatéraux rapproche physiquement les trajectoires. Une collision peut provoquer une perte de contrôle de puits, un blow-out, des pertes humaines et des dommages environnementaux. Réduire l’incertitude diminue le volume d’exclusion et autorise un espacement plus serré sans accroître le risque.</w:t>
      </w:r>
    </w:p>
    <w:p>
      <w:pPr>
        <w:spacing w:after="200"/>
      </w:pPr>
      <w:r>
        <w:t xml:space="preserve">Sur le plan économique une trajectoire plus certaine évite les sidetracks coûteux, améliore le drainage du réservoir et maximise la récupération. Les exigences réglementaires et les obligations d’assurance imposent également une quantification transparente et standardisée de l’incertitude. Enfin une incertitude mieux connue et plus faible permet de forer volontairement à proximité contrôlée, que ce soit pour un puits de secours ou pour un jumelage de trajectoires.</w:t>
      </w:r>
    </w:p>
    <w:p>
      <w:pPr>
        <w:pStyle w:val="Heading1"/>
      </w:pPr>
      <w:r>
        <w:t xml:space="preserve">6. Lien avec les modèles d’erreur modernes et le terme XCL</w:t>
      </w:r>
    </w:p>
    <w:p>
      <w:pPr>
        <w:spacing w:after="200"/>
      </w:pPr>
      <w:r>
        <w:t xml:space="preserve">Le terme Extended-Course-Length (XCL) introduit à la révision 5 quantifie l’erreur de modèle qui apparaît lorsque l’arc de courbure minimale reconstruit entre deux stations ne correspond pas à la trajectoire réelle (alternance slide-rotate). Cette erreur croît avec l’intervalle de mesure. Dans le contexte de l’anti-collision, un modèle qui ignore XCL sous-estime l’incertitude sur les sections peu échantillonnées et peut conduire à des facteurs de séparation trop optimistes. L’expression de XCL sous forme d’erreur d’angle attribuée uniquement à l’intervalle précédent (own-only) permet de conserver la même covariance que la formulation position-directe tout en restant compatible avec l’architecture standard des modèles d’erreur et avec les simulations Monte-Carlo.</w:t>
      </w:r>
    </w:p>
    <w:p>
      <w:pPr>
        <w:spacing w:after="200"/>
      </w:pPr>
      <w:r>
        <w:t xml:space="preserve">La possibilité de simuler Monte-Carlo (génération de milliers de réalisations aléatoires des erreurs d’angle, propagation own-only, observation du nuage de positions finales) offre une validation indépendante de la covariance analytique et confirme que l’attribution locale est nécessaire pour éviter une surestimation artificielle.</w:t>
      </w:r>
    </w:p>
    <w:p>
      <w:pPr>
        <w:pStyle w:val="Heading1"/>
      </w:pPr>
      <w:r>
        <w:t xml:space="preserve">7. Synthèse</w:t>
      </w:r>
    </w:p>
    <w:p>
      <w:pPr>
        <w:spacing w:after="200"/>
      </w:pPr>
      <w:r>
        <w:t xml:space="preserve">L’évolution conjointe des instruments, des modèles d’erreur standardisés et des méthodes de calcul de séparation a transformé l’anti-collision d’une règle empirique en un processus quantifié, traçable et reproductible. Les deux transitions majeures de 2000 (standardisation des modèles d’erreur) et de 2018-2019 (règle de séparation unifiée) ont rendu la précision à la fois plus élevée et plus fiable à l’échelle de l’industrie. Chaque gain de précision ouvre la possibilité de forer plus dense tout en maintenant un niveau de risque acceptable.</w:t>
      </w:r>
    </w:p>
    <w:p>
      <w:pPr>
        <w:pStyle w:val="Heading1"/>
      </w:pPr>
      <w:r>
        <w:t xml:space="preserve">Liste des références</w:t>
      </w:r>
    </w:p>
    <w:p>
      <w:pPr>
        <w:spacing w:after="120"/>
      </w:pPr>
      <w:r>
        <w:rPr>
          <w:sz w:val="20"/>
          <w:szCs w:val="20"/>
        </w:rPr>
        <w:t xml:space="preserve">Williamson, H. S. (2000). Accuracy Prediction for Directional Measurement While Drilling. SPE 67616. https://doi.org/10.2118/67616-PA</w:t>
      </w:r>
    </w:p>
    <w:p>
      <w:pPr>
        <w:spacing w:after="120"/>
      </w:pPr>
      <w:r>
        <w:rPr>
          <w:sz w:val="20"/>
          <w:szCs w:val="20"/>
        </w:rPr>
        <w:t xml:space="preserve">Sawaryn, S. J. et al. (2018). Well Collision Avoidance – Separation Rule. SPE-187073-MS. https://doi.org/10.2118/187073-MS</w:t>
      </w:r>
    </w:p>
    <w:p>
      <w:pPr>
        <w:spacing w:after="120"/>
      </w:pPr>
      <w:r>
        <w:rPr>
          <w:sz w:val="20"/>
          <w:szCs w:val="20"/>
        </w:rPr>
        <w:t xml:space="preserve">Corcutt, J. (2026). The ISCWSA Extended-Course-Length Error as an Own-Only Angle Error. Zenodo. https://doi.org/10.5281/zenodo.21901641</w:t>
      </w:r>
    </w:p>
    <w:p>
      <w:pPr>
        <w:spacing w:after="120"/>
      </w:pPr>
      <w:r>
        <w:rPr>
          <w:sz w:val="20"/>
          <w:szCs w:val="20"/>
        </w:rPr>
        <w:t xml:space="preserve">Definition of the ISCWSA Error Model, Revision 5.13. https://www.iscwsa.net/error-model-documentation/</w:t>
      </w:r>
    </w:p>
    <w:p>
      <w:pPr>
        <w:spacing w:after="120"/>
      </w:pPr>
      <w:r>
        <w:rPr>
          <w:sz w:val="20"/>
          <w:szCs w:val="20"/>
        </w:rPr>
        <w:t xml:space="preserve">Wolff, C. J. M. &amp; de Wardt, J. P. (1981). Borehole Position Uncertainty – Analysis of Measuring Methods and Derivation of Systematic Error Model. SPE 9223.</w:t>
      </w:r>
    </w:p>
    <w:p>
      <w:pPr>
        <w:spacing w:after="200"/>
      </w:pPr>
      <w:r>
        <w:rPr>
          <w:sz w:val="20"/>
          <w:szCs w:val="20"/>
        </w:rPr>
        <w:t xml:space="preserve">ISCWSA Error Model Documentation. https://www.iscwsa.net/error-model-documentation/</w:t>
      </w:r>
    </w:p>
    <w:p>
      <w:pPr>
        <w:pStyle w:val="Heading1"/>
      </w:pPr>
      <w:r>
        <w:t xml:space="preserve">Définition des acronymes</w:t>
      </w:r>
    </w:p>
    <w:p>
      <w:pPr>
        <w:spacing w:after="80"/>
      </w:pPr>
      <w:r>
        <w:rPr>
          <w:sz w:val="20"/>
          <w:szCs w:val="20"/>
        </w:rPr>
        <w:t xml:space="preserve">EOU : Ellipse of Uncertainty ou Ellipsoïde d’incertitude</w:t>
      </w:r>
    </w:p>
    <w:p>
      <w:pPr>
        <w:spacing w:after="80"/>
      </w:pPr>
      <w:r>
        <w:rPr>
          <w:sz w:val="20"/>
          <w:szCs w:val="20"/>
        </w:rPr>
        <w:t xml:space="preserve">HSE : Health, Safety and Environment</w:t>
      </w:r>
    </w:p>
    <w:p>
      <w:pPr>
        <w:spacing w:after="80"/>
      </w:pPr>
      <w:r>
        <w:rPr>
          <w:sz w:val="20"/>
          <w:szCs w:val="20"/>
        </w:rPr>
        <w:t xml:space="preserve">ISCWSA : Industry Steering Committee on Wellbore Survey Accuracy</w:t>
      </w:r>
    </w:p>
    <w:p>
      <w:pPr>
        <w:spacing w:after="80"/>
      </w:pPr>
      <w:r>
        <w:rPr>
          <w:sz w:val="20"/>
          <w:szCs w:val="20"/>
        </w:rPr>
        <w:t xml:space="preserve">MWD : Measurement While Drilling</w:t>
      </w:r>
    </w:p>
    <w:p>
      <w:pPr>
        <w:spacing w:after="80"/>
      </w:pPr>
      <w:r>
        <w:rPr>
          <w:sz w:val="20"/>
          <w:szCs w:val="20"/>
        </w:rPr>
        <w:t xml:space="preserve">SF : Separation Factor ou Facteur de séparation</w:t>
      </w:r>
    </w:p>
    <w:p>
      <w:pPr>
        <w:spacing w:after="80"/>
      </w:pPr>
      <w:r>
        <w:rPr>
          <w:sz w:val="20"/>
          <w:szCs w:val="20"/>
        </w:rPr>
        <w:t xml:space="preserve">SPE : Society of Petroleum Engineers</w:t>
      </w:r>
    </w:p>
    <w:p>
      <w:pPr>
        <w:spacing w:after="80"/>
      </w:pPr>
      <w:r>
        <w:rPr>
          <w:sz w:val="20"/>
          <w:szCs w:val="20"/>
        </w:rPr>
        <w:t xml:space="preserve">XCL : Extended-Course-Length (terme d’erreur de longueur de course étendue)</w:t>
      </w:r>
    </w:p>
    <w:p>
      <w:pPr>
        <w:spacing w:after="200"/>
      </w:pPr>
      <w:r>
        <w:rPr>
          <w:sz w:val="20"/>
          <w:szCs w:val="20"/>
        </w:rPr>
        <w:t xml:space="preserve">XCLH / XCLA / XCLL : composantes inclinaison, azimut et latérale du terme XCL</w:t>
      </w:r>
    </w:p>
    <w:p>
      <w:pPr>
        <w:spacing w:before="400"/>
        <w:jc w:val="center"/>
      </w:pPr>
      <w:r>
        <w:rPr>
          <w:i/>
          <w:iCs/>
          <w:color w:val="666666"/>
          <w:sz w:val="18"/>
          <w:szCs w:val="18"/>
        </w:rPr>
        <w:t xml:space="preserve">Fin du dossier de compilation – Document extractible et autonome</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8"/>
        <w:szCs w:val="18"/>
      </w:rPr>
      <w:t xml:space="preserve">page </w:t>
    </w:r>
    <w:r>
      <w:rPr>
        <w:sz w:val="18"/>
        <w:szCs w:val="18"/>
      </w:rPr>
      <w:fldChar w:fldCharType="begin"/>
      <w:instrText xml:space="preserve">PAGE</w:instrText>
      <w:fldChar w:fldCharType="separate"/>
      <w:fldChar w:fldCharType="end"/>
    </w:r>
    <w:r>
      <w:rPr>
        <w:sz w:val="18"/>
        <w:szCs w:val="18"/>
      </w:rPr>
      <w:t xml:space="preserve"> / </w:t>
    </w:r>
    <w:r>
      <w:rPr>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Dossier anti-collision – Précision de position des puits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 w:type="paragraph" w:styleId="Title">
    <w:name w:val="Title"/>
    <w:basedOn w:val="Normal"/>
    <w:qFormat/>
    <w:pPr>
      <w:spacing w:after="200" w:before="0"/>
      <w:jc w:val="center"/>
    </w:pPr>
    <w:rPr>
      <w:rFonts w:ascii="Arial" w:cs="Arial" w:eastAsia="Arial" w:hAnsi="Arial"/>
      <w:b/>
      <w:bCs/>
      <w:color w:val="1F4E79"/>
      <w:sz w:val="40"/>
      <w:szCs w:val="4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2026-08-23T23:47:23.406Z</dcterms:created>
  <dcterms:modified xsi:type="dcterms:W3CDTF">2026-08-23T23:47:23.406Z</dcterms:modified>
</cp:coreProperties>
</file>

<file path=docProps/custom.xml><?xml version="1.0" encoding="utf-8"?>
<Properties xmlns="http://schemas.openxmlformats.org/officeDocument/2006/custom-properties" xmlns:vt="http://schemas.openxmlformats.org/officeDocument/2006/docPropsVTypes"/>
</file>