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EA445" w14:textId="77777777" w:rsidR="003A0575" w:rsidRDefault="003A0575">
      <w:pPr>
        <w:spacing w:before="1200"/>
      </w:pPr>
    </w:p>
    <w:p w14:paraId="29D0DEE8" w14:textId="77777777" w:rsidR="003A0575" w:rsidRDefault="00000000">
      <w:pPr>
        <w:spacing w:before="600" w:after="300"/>
        <w:jc w:val="center"/>
      </w:pPr>
      <w:r>
        <w:rPr>
          <w:b/>
          <w:bCs/>
          <w:sz w:val="44"/>
          <w:szCs w:val="44"/>
        </w:rPr>
        <w:t>District Heating Thermodynamics and Hydraulics: Extended Technical Companion</w:t>
      </w:r>
    </w:p>
    <w:p w14:paraId="4D043D14" w14:textId="77777777" w:rsidR="003A0575" w:rsidRDefault="00000000">
      <w:pPr>
        <w:spacing w:after="800"/>
        <w:jc w:val="center"/>
      </w:pPr>
      <w:r>
        <w:rPr>
          <w:i/>
          <w:iCs/>
          <w:sz w:val="26"/>
          <w:szCs w:val="26"/>
        </w:rPr>
        <w:t>Formula Derivations and Worked Numerical Examples — Part 2, Companion to the Union Centrale Compiled Dossier (Rev. 3-C)</w:t>
      </w:r>
    </w:p>
    <w:p w14:paraId="36A7F717" w14:textId="77777777" w:rsidR="003A0575" w:rsidRDefault="003A0575">
      <w:pPr>
        <w:spacing w:before="3600"/>
      </w:pPr>
    </w:p>
    <w:p w14:paraId="64BF0A7D" w14:textId="77777777" w:rsidR="003A0575" w:rsidRDefault="003A0575">
      <w:pPr>
        <w:pBdr>
          <w:bottom w:val="single" w:sz="8" w:space="4" w:color="1F4E5F"/>
        </w:pBdr>
        <w:spacing w:after="200"/>
      </w:pPr>
    </w:p>
    <w:p w14:paraId="309A1F12" w14:textId="77777777" w:rsidR="004E2A6A" w:rsidRDefault="004E2A6A">
      <w:pPr>
        <w:pBdr>
          <w:bottom w:val="single" w:sz="8" w:space="4" w:color="1F4E5F"/>
        </w:pBdr>
        <w:spacing w:after="200"/>
      </w:pPr>
    </w:p>
    <w:p w14:paraId="51ADCB10" w14:textId="77777777" w:rsidR="004E2A6A" w:rsidRDefault="004E2A6A">
      <w:pPr>
        <w:pBdr>
          <w:bottom w:val="single" w:sz="8" w:space="4" w:color="1F4E5F"/>
        </w:pBdr>
        <w:spacing w:after="200"/>
      </w:pPr>
    </w:p>
    <w:p w14:paraId="1BF4F4F5" w14:textId="77777777" w:rsidR="004E2A6A" w:rsidRDefault="004E2A6A">
      <w:pPr>
        <w:pBdr>
          <w:bottom w:val="single" w:sz="8" w:space="4" w:color="1F4E5F"/>
        </w:pBdr>
        <w:spacing w:after="200"/>
      </w:pPr>
    </w:p>
    <w:p w14:paraId="2CCCEDC0" w14:textId="77777777" w:rsidR="004E2A6A" w:rsidRDefault="004E2A6A">
      <w:pPr>
        <w:pBdr>
          <w:bottom w:val="single" w:sz="8" w:space="4" w:color="1F4E5F"/>
        </w:pBdr>
        <w:spacing w:after="200"/>
      </w:pPr>
    </w:p>
    <w:p w14:paraId="6D76FBAB" w14:textId="77777777" w:rsidR="004E2A6A" w:rsidRDefault="004E2A6A">
      <w:pPr>
        <w:pBdr>
          <w:bottom w:val="single" w:sz="8" w:space="4" w:color="1F4E5F"/>
        </w:pBdr>
        <w:spacing w:after="200"/>
      </w:pPr>
    </w:p>
    <w:p w14:paraId="4181C193" w14:textId="77777777" w:rsidR="004E2A6A" w:rsidRDefault="004E2A6A">
      <w:pPr>
        <w:pBdr>
          <w:bottom w:val="single" w:sz="8" w:space="4" w:color="1F4E5F"/>
        </w:pBdr>
        <w:spacing w:after="200"/>
      </w:pPr>
    </w:p>
    <w:p w14:paraId="10025526" w14:textId="77777777" w:rsidR="003A0575" w:rsidRDefault="00000000">
      <w:pPr>
        <w:spacing w:after="80"/>
      </w:pPr>
      <w:r>
        <w:rPr>
          <w:i/>
          <w:iCs/>
          <w:sz w:val="20"/>
          <w:szCs w:val="20"/>
        </w:rPr>
        <w:t>DH Thermodynamics &amp; Hydraulics — Technical Companion (Part 2)</w:t>
      </w:r>
    </w:p>
    <w:p w14:paraId="44895052" w14:textId="77777777" w:rsidR="003A0575" w:rsidRDefault="00000000">
      <w:pPr>
        <w:spacing w:after="80"/>
      </w:pPr>
      <w:r>
        <w:rPr>
          <w:sz w:val="20"/>
          <w:szCs w:val="20"/>
        </w:rPr>
        <w:t xml:space="preserve">Author / Content Owner: </w:t>
      </w:r>
      <w:r>
        <w:rPr>
          <w:b/>
          <w:bCs/>
          <w:sz w:val="20"/>
          <w:szCs w:val="20"/>
        </w:rPr>
        <w:t>François Dorléans</w:t>
      </w:r>
    </w:p>
    <w:p w14:paraId="62DB387F" w14:textId="77777777" w:rsidR="003A0575" w:rsidRDefault="00000000">
      <w:pPr>
        <w:spacing w:after="160"/>
      </w:pPr>
      <w:r>
        <w:rPr>
          <w:i/>
          <w:iCs/>
          <w:color w:val="555555"/>
          <w:sz w:val="15"/>
          <w:szCs w:val="15"/>
        </w:rPr>
        <w:t>AI transparency: this document was compiled and typeset with AI assistance (Claude, Anthropic). It is a deliberately narrow companion to the Union Centrale compiled dossier “District Heating Networks, 5GDHC &amp; UTES” (Document ID UC-DHC-UTES-EN-2026, Revision 3-C, hereafter “Part 1”). Part 1 already contains a full, source-referenced treatment of district-heating history, the four-plus-one generation framework, network topology, and UTES; that material is not repeated here. This document exists only to go deeper on one thing Part 1 states but does not derive: the governing thermodynamic and hydraulic equations. All formulas are standard textbook relations; worked numerical examples use explicitly stated illustrative assumptions, not measured project data, and are labelled as such throughout.</w:t>
      </w:r>
    </w:p>
    <w:p w14:paraId="0F1350C2" w14:textId="77777777" w:rsidR="003A0575" w:rsidRDefault="003A0575">
      <w:pPr>
        <w:pBdr>
          <w:bottom w:val="single" w:sz="8" w:space="4" w:color="1F4E5F"/>
        </w:pBdr>
        <w:spacing w:after="200"/>
      </w:pPr>
    </w:p>
    <w:p w14:paraId="730DD62D" w14:textId="77777777" w:rsidR="003A0575" w:rsidRPr="004E2A6A" w:rsidRDefault="00000000">
      <w:pPr>
        <w:spacing w:after="60"/>
        <w:rPr>
          <w:lang w:val="fr-FR"/>
        </w:rPr>
      </w:pPr>
      <w:r w:rsidRPr="004E2A6A">
        <w:rPr>
          <w:b/>
          <w:bCs/>
          <w:sz w:val="19"/>
          <w:szCs w:val="19"/>
          <w:lang w:val="fr-FR"/>
        </w:rPr>
        <w:t xml:space="preserve">Document </w:t>
      </w:r>
      <w:proofErr w:type="gramStart"/>
      <w:r w:rsidRPr="004E2A6A">
        <w:rPr>
          <w:b/>
          <w:bCs/>
          <w:sz w:val="19"/>
          <w:szCs w:val="19"/>
          <w:lang w:val="fr-FR"/>
        </w:rPr>
        <w:t>ID:</w:t>
      </w:r>
      <w:proofErr w:type="gramEnd"/>
      <w:r w:rsidRPr="004E2A6A">
        <w:rPr>
          <w:b/>
          <w:bCs/>
          <w:sz w:val="19"/>
          <w:szCs w:val="19"/>
          <w:lang w:val="fr-FR"/>
        </w:rPr>
        <w:t xml:space="preserve"> </w:t>
      </w:r>
      <w:r w:rsidRPr="004E2A6A">
        <w:rPr>
          <w:sz w:val="19"/>
          <w:szCs w:val="19"/>
          <w:lang w:val="fr-FR"/>
        </w:rPr>
        <w:t>UC-DHC-THERMO-EN-2026</w:t>
      </w:r>
    </w:p>
    <w:p w14:paraId="74DE62EC" w14:textId="77777777" w:rsidR="003A0575" w:rsidRDefault="00000000">
      <w:pPr>
        <w:spacing w:after="60"/>
      </w:pPr>
      <w:r>
        <w:rPr>
          <w:b/>
          <w:bCs/>
          <w:sz w:val="19"/>
          <w:szCs w:val="19"/>
        </w:rPr>
        <w:t xml:space="preserve">Revision: </w:t>
      </w:r>
      <w:r>
        <w:rPr>
          <w:sz w:val="19"/>
          <w:szCs w:val="19"/>
        </w:rPr>
        <w:t>2-C</w:t>
      </w:r>
    </w:p>
    <w:p w14:paraId="1285EB34" w14:textId="77777777" w:rsidR="003A0575" w:rsidRDefault="00000000">
      <w:pPr>
        <w:spacing w:after="60"/>
      </w:pPr>
      <w:r>
        <w:rPr>
          <w:b/>
          <w:bCs/>
          <w:sz w:val="19"/>
          <w:szCs w:val="19"/>
        </w:rPr>
        <w:t xml:space="preserve">Version date: </w:t>
      </w:r>
      <w:r>
        <w:rPr>
          <w:sz w:val="19"/>
          <w:szCs w:val="19"/>
        </w:rPr>
        <w:t>05/09/2026 (Rev. 2-C)</w:t>
      </w:r>
    </w:p>
    <w:p w14:paraId="369CD9EC" w14:textId="77777777" w:rsidR="003A0575" w:rsidRDefault="00000000">
      <w:pPr>
        <w:spacing w:after="60"/>
      </w:pPr>
      <w:r>
        <w:rPr>
          <w:b/>
          <w:bCs/>
          <w:sz w:val="19"/>
          <w:szCs w:val="19"/>
        </w:rPr>
        <w:t xml:space="preserve">Companion to: </w:t>
      </w:r>
      <w:r>
        <w:rPr>
          <w:sz w:val="19"/>
          <w:szCs w:val="19"/>
        </w:rPr>
        <w:t>UC-DHC-UTES-EN-2026, Rev. 3-C (“Part 1”)</w:t>
      </w:r>
    </w:p>
    <w:p w14:paraId="3A60F6C5" w14:textId="77777777" w:rsidR="003A0575" w:rsidRDefault="00000000">
      <w:pPr>
        <w:spacing w:after="60"/>
      </w:pPr>
      <w:r>
        <w:rPr>
          <w:b/>
          <w:bCs/>
          <w:sz w:val="19"/>
          <w:szCs w:val="19"/>
        </w:rPr>
        <w:t xml:space="preserve">Keywords: </w:t>
      </w:r>
      <w:r>
        <w:rPr>
          <w:sz w:val="19"/>
          <w:szCs w:val="19"/>
        </w:rPr>
        <w:t>district heating, thermodynamics, hydraulics, heat transport, distribution losses, COP, exergy, Darcy-Weisbach, worked examples, meshing, Union Centrale</w:t>
      </w:r>
    </w:p>
    <w:p w14:paraId="34E7BAB6" w14:textId="77777777" w:rsidR="003A0575" w:rsidRDefault="00000000">
      <w:r>
        <w:br w:type="page"/>
      </w:r>
    </w:p>
    <w:p w14:paraId="38F2951C" w14:textId="77777777" w:rsidR="003A0575" w:rsidRDefault="00000000">
      <w:pPr>
        <w:pStyle w:val="Heading1"/>
        <w:spacing w:before="200" w:after="300"/>
      </w:pPr>
      <w:bookmarkStart w:id="0" w:name="_Toc239465078"/>
      <w:r>
        <w:lastRenderedPageBreak/>
        <w:t>Revision History</w:t>
      </w:r>
      <w:bookmarkEnd w:id="0"/>
    </w:p>
    <w:p w14:paraId="4D4F2777" w14:textId="77777777" w:rsidR="003A0575" w:rsidRDefault="00000000">
      <w:pPr>
        <w:spacing w:after="160" w:line="276" w:lineRule="auto"/>
        <w:jc w:val="both"/>
      </w:pPr>
      <w:r>
        <w:t xml:space="preserve">Revision </w:t>
      </w:r>
      <w:r>
        <w:rPr>
          <w:b/>
          <w:bCs/>
        </w:rPr>
        <w:t>1-C</w:t>
      </w:r>
      <w:r>
        <w:t xml:space="preserve"> — First edition. Created by pruning the original source dossier “History of Urban District Heating Networks &amp; 5GDHC” (Generic Technical Dossier, August 2026 update) down to the material not already covered in sufficient depth by Part 1 (UC-DHC-UTES-EN-2026, Rev. 3-C). Removed: historical origins, the four-generation classification, the 5GDHC definition, network-topology discussion, and global-status summary — all reproduced near-verbatim, with additional cross-referencing, in Part 1 §1.1–§1.4 and §1.6. Retained and substantially expanded: the governing thermodynamic and hydraulic equations (Part 1 §1.5 states these formulas in one paragraph each without derivation). This edition adds step-by-step derivations, physical interpretation, and three fully worked numerical examples — distribution heat loss by generation, heat-pump COP, exergy destruction, and hydraulic pressure drop with and without meshing — none of which appear in Part 1 or in the original source dossier.</w:t>
      </w:r>
    </w:p>
    <w:p w14:paraId="70A9E754" w14:textId="77777777" w:rsidR="003A0575" w:rsidRDefault="00000000">
      <w:pPr>
        <w:spacing w:after="160" w:line="276" w:lineRule="auto"/>
        <w:jc w:val="both"/>
      </w:pPr>
      <w:r>
        <w:t xml:space="preserve">Revision </w:t>
      </w:r>
      <w:r>
        <w:rPr>
          <w:b/>
          <w:bCs/>
        </w:rPr>
        <w:t>2-C</w:t>
      </w:r>
      <w:r>
        <w:t xml:space="preserve"> — Typesetting correction. Revision 1-C rendered every formula as inline Unicode-approximated text (e.g. ‘Q̇ = ṁ·cₚ·ΔT’ set in body-text font), which read as prose rather than mathematics. All governing equations and worked-example calculation steps — 23 in total — are now typeset as proper display equations (Computer Modern math font: correct fractions, subscripts, Greek letters, radicals) and centred on the page, matching standard engineering and physics publication conventions. No content, derivation, or numerical result changed from Revision 1-C; only the typesetting of the mathematics.</w:t>
      </w:r>
    </w:p>
    <w:p w14:paraId="411C7F52" w14:textId="77777777" w:rsidR="003A0575" w:rsidRDefault="00000000">
      <w:pPr>
        <w:spacing w:after="160" w:line="276" w:lineRule="auto"/>
        <w:jc w:val="both"/>
      </w:pPr>
      <w:r>
        <w:t>Source lineage: District_Heating_Networks_History_5GDHC_Dossier_Updated (Generic Technical Dossier, August 2026 update), authored by François Dorléans, retained here only as the origin of §6 (Thermodynamic Foundations and Governing Equations), which this document extends. All other sections of that source dossier are superseded by Part 1 and are not reproduced.</w:t>
      </w:r>
    </w:p>
    <w:p w14:paraId="7D4D45BA" w14:textId="77777777" w:rsidR="003A0575" w:rsidRDefault="00000000">
      <w:r>
        <w:br w:type="page"/>
      </w:r>
    </w:p>
    <w:p w14:paraId="1878E1B7" w14:textId="77777777" w:rsidR="003A0575" w:rsidRDefault="003A0575">
      <w:pPr>
        <w:sectPr w:rsidR="003A0575">
          <w:pgSz w:w="11906" w:h="16838"/>
          <w:pgMar w:top="449" w:right="449" w:bottom="449" w:left="449" w:header="708" w:footer="708" w:gutter="0"/>
          <w:cols w:space="720"/>
          <w:titlePg/>
          <w:docGrid w:linePitch="360"/>
        </w:sectPr>
      </w:pPr>
    </w:p>
    <w:p w14:paraId="7077E798" w14:textId="77777777" w:rsidR="003A0575" w:rsidRDefault="00000000">
      <w:pPr>
        <w:pStyle w:val="Heading1"/>
        <w:spacing w:before="420"/>
      </w:pPr>
      <w:bookmarkStart w:id="1" w:name="_Toc239465079"/>
      <w:r>
        <w:lastRenderedPageBreak/>
        <w:t>0. Purpose, Scope and Relationship to Part 1</w:t>
      </w:r>
      <w:bookmarkEnd w:id="1"/>
    </w:p>
    <w:p w14:paraId="42FCA250" w14:textId="77777777" w:rsidR="003A0575" w:rsidRDefault="00000000">
      <w:pPr>
        <w:spacing w:after="160" w:line="276" w:lineRule="auto"/>
        <w:jc w:val="both"/>
      </w:pPr>
      <w:r>
        <w:t>The Union Centrale programme now maintains a compiled reference document — “District Heating Networks, Fifth-Generation Heating &amp; Cooling (5GDHC), and Underground Thermal Energy Storage (UTES)”, Document ID UC-DHC-UTES-EN-2026, Revision 3-C (“Part 1”) — that already incorporates, near-verbatim, the historical, classificatory, and topological content of the original standalone dossier “History of Urban District Heating Networks &amp; 5GDHC” (August 2026 update). Maintaining two documents that say the same thing about the same subject in the same words serves no one: it doubles the maintenance burden and gives a reader no signal about which version is authoritative.</w:t>
      </w:r>
    </w:p>
    <w:p w14:paraId="70EBA6B5" w14:textId="77777777" w:rsidR="003A0575" w:rsidRDefault="00000000">
      <w:pPr>
        <w:spacing w:after="160" w:line="276" w:lineRule="auto"/>
        <w:jc w:val="both"/>
      </w:pPr>
      <w:r>
        <w:t xml:space="preserve">This document therefore keeps only what Part 1 does </w:t>
      </w:r>
      <w:r>
        <w:rPr>
          <w:b/>
          <w:bCs/>
        </w:rPr>
        <w:t>not</w:t>
      </w:r>
      <w:r>
        <w:t xml:space="preserve"> already cover in adequate depth. Table 0.1 makes that boundary explicit, section by section, so a reader can move between the two documents without guessing where to look.</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3000"/>
        <w:gridCol w:w="2550"/>
      </w:tblGrid>
      <w:tr w:rsidR="003A0575" w14:paraId="57DA421A" w14:textId="77777777">
        <w:tblPrEx>
          <w:tblCellMar>
            <w:top w:w="0" w:type="dxa"/>
            <w:bottom w:w="0" w:type="dxa"/>
          </w:tblCellMar>
        </w:tblPrEx>
        <w:trPr>
          <w:tblHeader/>
        </w:trPr>
        <w:tc>
          <w:tcPr>
            <w:tcW w:w="3800" w:type="dxa"/>
            <w:shd w:val="clear" w:color="auto" w:fill="1F4E5F"/>
            <w:tcMar>
              <w:top w:w="60" w:type="dxa"/>
              <w:left w:w="100" w:type="dxa"/>
              <w:bottom w:w="60" w:type="dxa"/>
              <w:right w:w="100" w:type="dxa"/>
            </w:tcMar>
            <w:vAlign w:val="center"/>
          </w:tcPr>
          <w:p w14:paraId="1B67712E" w14:textId="77777777" w:rsidR="003A0575" w:rsidRDefault="00000000">
            <w:r>
              <w:rPr>
                <w:b/>
                <w:bCs/>
                <w:color w:val="FFFFFF"/>
                <w:sz w:val="18"/>
                <w:szCs w:val="18"/>
              </w:rPr>
              <w:t>Topic (original source dossier)</w:t>
            </w:r>
          </w:p>
        </w:tc>
        <w:tc>
          <w:tcPr>
            <w:tcW w:w="3000" w:type="dxa"/>
            <w:shd w:val="clear" w:color="auto" w:fill="1F4E5F"/>
            <w:tcMar>
              <w:top w:w="60" w:type="dxa"/>
              <w:left w:w="100" w:type="dxa"/>
              <w:bottom w:w="60" w:type="dxa"/>
              <w:right w:w="100" w:type="dxa"/>
            </w:tcMar>
            <w:vAlign w:val="center"/>
          </w:tcPr>
          <w:p w14:paraId="6A6DBC1D" w14:textId="77777777" w:rsidR="003A0575" w:rsidRDefault="00000000">
            <w:r>
              <w:rPr>
                <w:b/>
                <w:bCs/>
                <w:color w:val="FFFFFF"/>
                <w:sz w:val="18"/>
                <w:szCs w:val="18"/>
              </w:rPr>
              <w:t>Status</w:t>
            </w:r>
          </w:p>
        </w:tc>
        <w:tc>
          <w:tcPr>
            <w:tcW w:w="2550" w:type="dxa"/>
            <w:shd w:val="clear" w:color="auto" w:fill="1F4E5F"/>
            <w:tcMar>
              <w:top w:w="60" w:type="dxa"/>
              <w:left w:w="100" w:type="dxa"/>
              <w:bottom w:w="60" w:type="dxa"/>
              <w:right w:w="100" w:type="dxa"/>
            </w:tcMar>
            <w:vAlign w:val="center"/>
          </w:tcPr>
          <w:p w14:paraId="0ED68C8A" w14:textId="77777777" w:rsidR="003A0575" w:rsidRDefault="00000000">
            <w:r>
              <w:rPr>
                <w:b/>
                <w:bCs/>
                <w:color w:val="FFFFFF"/>
                <w:sz w:val="18"/>
                <w:szCs w:val="18"/>
              </w:rPr>
              <w:t>Where to read it</w:t>
            </w:r>
          </w:p>
        </w:tc>
      </w:tr>
      <w:tr w:rsidR="003A0575" w14:paraId="577FB911" w14:textId="77777777">
        <w:tblPrEx>
          <w:tblCellMar>
            <w:top w:w="0" w:type="dxa"/>
            <w:bottom w:w="0" w:type="dxa"/>
          </w:tblCellMar>
        </w:tblPrEx>
        <w:tc>
          <w:tcPr>
            <w:tcW w:w="3800" w:type="dxa"/>
            <w:shd w:val="clear" w:color="auto" w:fill="F2F6F8"/>
            <w:tcMar>
              <w:top w:w="50" w:type="dxa"/>
              <w:left w:w="100" w:type="dxa"/>
              <w:bottom w:w="50" w:type="dxa"/>
              <w:right w:w="100" w:type="dxa"/>
            </w:tcMar>
            <w:vAlign w:val="center"/>
          </w:tcPr>
          <w:p w14:paraId="6B26D395" w14:textId="77777777" w:rsidR="003A0575" w:rsidRDefault="00000000">
            <w:r>
              <w:rPr>
                <w:sz w:val="18"/>
                <w:szCs w:val="18"/>
              </w:rPr>
              <w:t>Historical origins and early developments</w:t>
            </w:r>
          </w:p>
        </w:tc>
        <w:tc>
          <w:tcPr>
            <w:tcW w:w="3000" w:type="dxa"/>
            <w:shd w:val="clear" w:color="auto" w:fill="F2F6F8"/>
            <w:tcMar>
              <w:top w:w="50" w:type="dxa"/>
              <w:left w:w="100" w:type="dxa"/>
              <w:bottom w:w="50" w:type="dxa"/>
              <w:right w:w="100" w:type="dxa"/>
            </w:tcMar>
            <w:vAlign w:val="center"/>
          </w:tcPr>
          <w:p w14:paraId="4B8FE9CC" w14:textId="77777777" w:rsidR="003A0575" w:rsidRDefault="00000000">
            <w:r>
              <w:rPr>
                <w:sz w:val="18"/>
                <w:szCs w:val="18"/>
              </w:rPr>
              <w:t xml:space="preserve">Fully covered, </w:t>
            </w:r>
            <w:proofErr w:type="gramStart"/>
            <w:r>
              <w:rPr>
                <w:sz w:val="18"/>
                <w:szCs w:val="18"/>
              </w:rPr>
              <w:t>near-verbatim</w:t>
            </w:r>
            <w:proofErr w:type="gramEnd"/>
          </w:p>
        </w:tc>
        <w:tc>
          <w:tcPr>
            <w:tcW w:w="2550" w:type="dxa"/>
            <w:shd w:val="clear" w:color="auto" w:fill="F2F6F8"/>
            <w:tcMar>
              <w:top w:w="50" w:type="dxa"/>
              <w:left w:w="100" w:type="dxa"/>
              <w:bottom w:w="50" w:type="dxa"/>
              <w:right w:w="100" w:type="dxa"/>
            </w:tcMar>
            <w:vAlign w:val="center"/>
          </w:tcPr>
          <w:p w14:paraId="6B091BE3" w14:textId="77777777" w:rsidR="003A0575" w:rsidRDefault="00000000">
            <w:r>
              <w:rPr>
                <w:sz w:val="18"/>
                <w:szCs w:val="18"/>
              </w:rPr>
              <w:t>Part 1, §1.1</w:t>
            </w:r>
          </w:p>
        </w:tc>
      </w:tr>
      <w:tr w:rsidR="003A0575" w14:paraId="1FAF4250" w14:textId="77777777">
        <w:tblPrEx>
          <w:tblCellMar>
            <w:top w:w="0" w:type="dxa"/>
            <w:bottom w:w="0" w:type="dxa"/>
          </w:tblCellMar>
        </w:tblPrEx>
        <w:tc>
          <w:tcPr>
            <w:tcW w:w="3800" w:type="dxa"/>
            <w:shd w:val="clear" w:color="auto" w:fill="FFFFFF"/>
            <w:tcMar>
              <w:top w:w="50" w:type="dxa"/>
              <w:left w:w="100" w:type="dxa"/>
              <w:bottom w:w="50" w:type="dxa"/>
              <w:right w:w="100" w:type="dxa"/>
            </w:tcMar>
            <w:vAlign w:val="center"/>
          </w:tcPr>
          <w:p w14:paraId="59EBA6B4" w14:textId="77777777" w:rsidR="003A0575" w:rsidRDefault="00000000">
            <w:r>
              <w:rPr>
                <w:sz w:val="18"/>
                <w:szCs w:val="18"/>
              </w:rPr>
              <w:t>The four generations of district heating (1GDH–4GDH)</w:t>
            </w:r>
          </w:p>
        </w:tc>
        <w:tc>
          <w:tcPr>
            <w:tcW w:w="3000" w:type="dxa"/>
            <w:shd w:val="clear" w:color="auto" w:fill="FFFFFF"/>
            <w:tcMar>
              <w:top w:w="50" w:type="dxa"/>
              <w:left w:w="100" w:type="dxa"/>
              <w:bottom w:w="50" w:type="dxa"/>
              <w:right w:w="100" w:type="dxa"/>
            </w:tcMar>
            <w:vAlign w:val="center"/>
          </w:tcPr>
          <w:p w14:paraId="406725F3" w14:textId="77777777" w:rsidR="003A0575" w:rsidRDefault="00000000">
            <w:r>
              <w:rPr>
                <w:sz w:val="18"/>
                <w:szCs w:val="18"/>
              </w:rPr>
              <w:t xml:space="preserve">Fully covered, </w:t>
            </w:r>
            <w:proofErr w:type="gramStart"/>
            <w:r>
              <w:rPr>
                <w:sz w:val="18"/>
                <w:szCs w:val="18"/>
              </w:rPr>
              <w:t>near-verbatim</w:t>
            </w:r>
            <w:proofErr w:type="gramEnd"/>
          </w:p>
        </w:tc>
        <w:tc>
          <w:tcPr>
            <w:tcW w:w="2550" w:type="dxa"/>
            <w:shd w:val="clear" w:color="auto" w:fill="FFFFFF"/>
            <w:tcMar>
              <w:top w:w="50" w:type="dxa"/>
              <w:left w:w="100" w:type="dxa"/>
              <w:bottom w:w="50" w:type="dxa"/>
              <w:right w:w="100" w:type="dxa"/>
            </w:tcMar>
            <w:vAlign w:val="center"/>
          </w:tcPr>
          <w:p w14:paraId="5027BDF5" w14:textId="77777777" w:rsidR="003A0575" w:rsidRDefault="00000000">
            <w:r>
              <w:rPr>
                <w:sz w:val="18"/>
                <w:szCs w:val="18"/>
              </w:rPr>
              <w:t>Part 1, §1.2</w:t>
            </w:r>
          </w:p>
        </w:tc>
      </w:tr>
      <w:tr w:rsidR="003A0575" w14:paraId="52A780BD" w14:textId="77777777">
        <w:tblPrEx>
          <w:tblCellMar>
            <w:top w:w="0" w:type="dxa"/>
            <w:bottom w:w="0" w:type="dxa"/>
          </w:tblCellMar>
        </w:tblPrEx>
        <w:tc>
          <w:tcPr>
            <w:tcW w:w="3800" w:type="dxa"/>
            <w:shd w:val="clear" w:color="auto" w:fill="F2F6F8"/>
            <w:tcMar>
              <w:top w:w="50" w:type="dxa"/>
              <w:left w:w="100" w:type="dxa"/>
              <w:bottom w:w="50" w:type="dxa"/>
              <w:right w:w="100" w:type="dxa"/>
            </w:tcMar>
            <w:vAlign w:val="center"/>
          </w:tcPr>
          <w:p w14:paraId="218FB687" w14:textId="77777777" w:rsidR="003A0575" w:rsidRDefault="00000000">
            <w:r>
              <w:rPr>
                <w:sz w:val="18"/>
                <w:szCs w:val="18"/>
              </w:rPr>
              <w:t>Fifth-generation district heating and cooling (5GDHC)</w:t>
            </w:r>
          </w:p>
        </w:tc>
        <w:tc>
          <w:tcPr>
            <w:tcW w:w="3000" w:type="dxa"/>
            <w:shd w:val="clear" w:color="auto" w:fill="F2F6F8"/>
            <w:tcMar>
              <w:top w:w="50" w:type="dxa"/>
              <w:left w:w="100" w:type="dxa"/>
              <w:bottom w:w="50" w:type="dxa"/>
              <w:right w:w="100" w:type="dxa"/>
            </w:tcMar>
            <w:vAlign w:val="center"/>
          </w:tcPr>
          <w:p w14:paraId="215A2D1D" w14:textId="77777777" w:rsidR="003A0575" w:rsidRDefault="00000000">
            <w:r>
              <w:rPr>
                <w:sz w:val="18"/>
                <w:szCs w:val="18"/>
              </w:rPr>
              <w:t xml:space="preserve">Fully covered, </w:t>
            </w:r>
            <w:proofErr w:type="gramStart"/>
            <w:r>
              <w:rPr>
                <w:sz w:val="18"/>
                <w:szCs w:val="18"/>
              </w:rPr>
              <w:t>near-verbatim</w:t>
            </w:r>
            <w:proofErr w:type="gramEnd"/>
            <w:r>
              <w:rPr>
                <w:sz w:val="18"/>
                <w:szCs w:val="18"/>
              </w:rPr>
              <w:t>, plus an addition (4GDH/5GDHC complementarity) that the original source dossier lacks</w:t>
            </w:r>
          </w:p>
        </w:tc>
        <w:tc>
          <w:tcPr>
            <w:tcW w:w="2550" w:type="dxa"/>
            <w:shd w:val="clear" w:color="auto" w:fill="F2F6F8"/>
            <w:tcMar>
              <w:top w:w="50" w:type="dxa"/>
              <w:left w:w="100" w:type="dxa"/>
              <w:bottom w:w="50" w:type="dxa"/>
              <w:right w:w="100" w:type="dxa"/>
            </w:tcMar>
            <w:vAlign w:val="center"/>
          </w:tcPr>
          <w:p w14:paraId="1B8183BC" w14:textId="77777777" w:rsidR="003A0575" w:rsidRDefault="00000000">
            <w:r>
              <w:rPr>
                <w:sz w:val="18"/>
                <w:szCs w:val="18"/>
              </w:rPr>
              <w:t>Part 1, §1.3 and §1.3.1</w:t>
            </w:r>
          </w:p>
        </w:tc>
      </w:tr>
      <w:tr w:rsidR="003A0575" w14:paraId="3925D46C" w14:textId="77777777">
        <w:tblPrEx>
          <w:tblCellMar>
            <w:top w:w="0" w:type="dxa"/>
            <w:bottom w:w="0" w:type="dxa"/>
          </w:tblCellMar>
        </w:tblPrEx>
        <w:tc>
          <w:tcPr>
            <w:tcW w:w="3800" w:type="dxa"/>
            <w:shd w:val="clear" w:color="auto" w:fill="FFFFFF"/>
            <w:tcMar>
              <w:top w:w="50" w:type="dxa"/>
              <w:left w:w="100" w:type="dxa"/>
              <w:bottom w:w="50" w:type="dxa"/>
              <w:right w:w="100" w:type="dxa"/>
            </w:tcMar>
            <w:vAlign w:val="center"/>
          </w:tcPr>
          <w:p w14:paraId="7F02AA66" w14:textId="77777777" w:rsidR="003A0575" w:rsidRDefault="00000000">
            <w:r>
              <w:rPr>
                <w:sz w:val="18"/>
                <w:szCs w:val="18"/>
              </w:rPr>
              <w:t>Network topologies and the importance of meshing</w:t>
            </w:r>
          </w:p>
        </w:tc>
        <w:tc>
          <w:tcPr>
            <w:tcW w:w="3000" w:type="dxa"/>
            <w:shd w:val="clear" w:color="auto" w:fill="FFFFFF"/>
            <w:tcMar>
              <w:top w:w="50" w:type="dxa"/>
              <w:left w:w="100" w:type="dxa"/>
              <w:bottom w:w="50" w:type="dxa"/>
              <w:right w:w="100" w:type="dxa"/>
            </w:tcMar>
            <w:vAlign w:val="center"/>
          </w:tcPr>
          <w:p w14:paraId="244FFFCC" w14:textId="77777777" w:rsidR="003A0575" w:rsidRDefault="00000000">
            <w:r>
              <w:rPr>
                <w:sz w:val="18"/>
                <w:szCs w:val="18"/>
              </w:rPr>
              <w:t xml:space="preserve">Fully covered, </w:t>
            </w:r>
            <w:proofErr w:type="gramStart"/>
            <w:r>
              <w:rPr>
                <w:sz w:val="18"/>
                <w:szCs w:val="18"/>
              </w:rPr>
              <w:t>near-verbatim</w:t>
            </w:r>
            <w:proofErr w:type="gramEnd"/>
          </w:p>
        </w:tc>
        <w:tc>
          <w:tcPr>
            <w:tcW w:w="2550" w:type="dxa"/>
            <w:shd w:val="clear" w:color="auto" w:fill="FFFFFF"/>
            <w:tcMar>
              <w:top w:w="50" w:type="dxa"/>
              <w:left w:w="100" w:type="dxa"/>
              <w:bottom w:w="50" w:type="dxa"/>
              <w:right w:w="100" w:type="dxa"/>
            </w:tcMar>
            <w:vAlign w:val="center"/>
          </w:tcPr>
          <w:p w14:paraId="2C14E870" w14:textId="77777777" w:rsidR="003A0575" w:rsidRDefault="00000000">
            <w:r>
              <w:rPr>
                <w:sz w:val="18"/>
                <w:szCs w:val="18"/>
              </w:rPr>
              <w:t>Part 1, §1.4</w:t>
            </w:r>
          </w:p>
        </w:tc>
      </w:tr>
      <w:tr w:rsidR="003A0575" w14:paraId="22ACEA10" w14:textId="77777777">
        <w:tblPrEx>
          <w:tblCellMar>
            <w:top w:w="0" w:type="dxa"/>
            <w:bottom w:w="0" w:type="dxa"/>
          </w:tblCellMar>
        </w:tblPrEx>
        <w:tc>
          <w:tcPr>
            <w:tcW w:w="3800" w:type="dxa"/>
            <w:shd w:val="clear" w:color="auto" w:fill="F2F6F8"/>
            <w:tcMar>
              <w:top w:w="50" w:type="dxa"/>
              <w:left w:w="100" w:type="dxa"/>
              <w:bottom w:w="50" w:type="dxa"/>
              <w:right w:w="100" w:type="dxa"/>
            </w:tcMar>
            <w:vAlign w:val="center"/>
          </w:tcPr>
          <w:p w14:paraId="7B5314DD" w14:textId="77777777" w:rsidR="003A0575" w:rsidRDefault="00000000">
            <w:r>
              <w:rPr>
                <w:sz w:val="18"/>
                <w:szCs w:val="18"/>
              </w:rPr>
              <w:t>Thermodynamic foundations and governing equations</w:t>
            </w:r>
          </w:p>
        </w:tc>
        <w:tc>
          <w:tcPr>
            <w:tcW w:w="3000" w:type="dxa"/>
            <w:shd w:val="clear" w:color="auto" w:fill="F2F6F8"/>
            <w:tcMar>
              <w:top w:w="50" w:type="dxa"/>
              <w:left w:w="100" w:type="dxa"/>
              <w:bottom w:w="50" w:type="dxa"/>
              <w:right w:w="100" w:type="dxa"/>
            </w:tcMar>
            <w:vAlign w:val="center"/>
          </w:tcPr>
          <w:p w14:paraId="3D545620" w14:textId="77777777" w:rsidR="003A0575" w:rsidRDefault="00000000">
            <w:r>
              <w:rPr>
                <w:sz w:val="18"/>
                <w:szCs w:val="18"/>
              </w:rPr>
              <w:t>Equations stated, not derived; no worked examples</w:t>
            </w:r>
          </w:p>
        </w:tc>
        <w:tc>
          <w:tcPr>
            <w:tcW w:w="2550" w:type="dxa"/>
            <w:shd w:val="clear" w:color="auto" w:fill="F2F6F8"/>
            <w:tcMar>
              <w:top w:w="50" w:type="dxa"/>
              <w:left w:w="100" w:type="dxa"/>
              <w:bottom w:w="50" w:type="dxa"/>
              <w:right w:w="100" w:type="dxa"/>
            </w:tcMar>
            <w:vAlign w:val="center"/>
          </w:tcPr>
          <w:p w14:paraId="6778DC6B" w14:textId="77777777" w:rsidR="003A0575" w:rsidRDefault="00000000">
            <w:r>
              <w:rPr>
                <w:sz w:val="18"/>
                <w:szCs w:val="18"/>
              </w:rPr>
              <w:t xml:space="preserve">Part 1, §1.5 (summary) — </w:t>
            </w:r>
            <w:r>
              <w:rPr>
                <w:b/>
                <w:bCs/>
                <w:sz w:val="18"/>
                <w:szCs w:val="18"/>
              </w:rPr>
              <w:t>this document, §1–§5 (full treatment)</w:t>
            </w:r>
          </w:p>
        </w:tc>
      </w:tr>
      <w:tr w:rsidR="003A0575" w14:paraId="2BA75CF8" w14:textId="77777777">
        <w:tblPrEx>
          <w:tblCellMar>
            <w:top w:w="0" w:type="dxa"/>
            <w:bottom w:w="0" w:type="dxa"/>
          </w:tblCellMar>
        </w:tblPrEx>
        <w:tc>
          <w:tcPr>
            <w:tcW w:w="3800" w:type="dxa"/>
            <w:shd w:val="clear" w:color="auto" w:fill="FFFFFF"/>
            <w:tcMar>
              <w:top w:w="50" w:type="dxa"/>
              <w:left w:w="100" w:type="dxa"/>
              <w:bottom w:w="50" w:type="dxa"/>
              <w:right w:w="100" w:type="dxa"/>
            </w:tcMar>
            <w:vAlign w:val="center"/>
          </w:tcPr>
          <w:p w14:paraId="5E9C1E95" w14:textId="77777777" w:rsidR="003A0575" w:rsidRDefault="00000000">
            <w:r>
              <w:rPr>
                <w:sz w:val="18"/>
                <w:szCs w:val="18"/>
              </w:rPr>
              <w:t>Global status, benefits and challenges</w:t>
            </w:r>
          </w:p>
        </w:tc>
        <w:tc>
          <w:tcPr>
            <w:tcW w:w="3000" w:type="dxa"/>
            <w:shd w:val="clear" w:color="auto" w:fill="FFFFFF"/>
            <w:tcMar>
              <w:top w:w="50" w:type="dxa"/>
              <w:left w:w="100" w:type="dxa"/>
              <w:bottom w:w="50" w:type="dxa"/>
              <w:right w:w="100" w:type="dxa"/>
            </w:tcMar>
            <w:vAlign w:val="center"/>
          </w:tcPr>
          <w:p w14:paraId="264E31DE" w14:textId="77777777" w:rsidR="003A0575" w:rsidRDefault="00000000">
            <w:r>
              <w:rPr>
                <w:sz w:val="18"/>
                <w:szCs w:val="18"/>
              </w:rPr>
              <w:t xml:space="preserve">Fully covered, </w:t>
            </w:r>
            <w:proofErr w:type="gramStart"/>
            <w:r>
              <w:rPr>
                <w:sz w:val="18"/>
                <w:szCs w:val="18"/>
              </w:rPr>
              <w:t>near-verbatim</w:t>
            </w:r>
            <w:proofErr w:type="gramEnd"/>
          </w:p>
        </w:tc>
        <w:tc>
          <w:tcPr>
            <w:tcW w:w="2550" w:type="dxa"/>
            <w:shd w:val="clear" w:color="auto" w:fill="FFFFFF"/>
            <w:tcMar>
              <w:top w:w="50" w:type="dxa"/>
              <w:left w:w="100" w:type="dxa"/>
              <w:bottom w:w="50" w:type="dxa"/>
              <w:right w:w="100" w:type="dxa"/>
            </w:tcMar>
            <w:vAlign w:val="center"/>
          </w:tcPr>
          <w:p w14:paraId="20DBCF2B" w14:textId="77777777" w:rsidR="003A0575" w:rsidRDefault="00000000">
            <w:r>
              <w:rPr>
                <w:sz w:val="18"/>
                <w:szCs w:val="18"/>
              </w:rPr>
              <w:t>Part 1, §1.6</w:t>
            </w:r>
          </w:p>
        </w:tc>
      </w:tr>
      <w:tr w:rsidR="003A0575" w14:paraId="2EDBF918" w14:textId="77777777">
        <w:tblPrEx>
          <w:tblCellMar>
            <w:top w:w="0" w:type="dxa"/>
            <w:bottom w:w="0" w:type="dxa"/>
          </w:tblCellMar>
        </w:tblPrEx>
        <w:tc>
          <w:tcPr>
            <w:tcW w:w="3800" w:type="dxa"/>
            <w:shd w:val="clear" w:color="auto" w:fill="F2F6F8"/>
            <w:tcMar>
              <w:top w:w="50" w:type="dxa"/>
              <w:left w:w="100" w:type="dxa"/>
              <w:bottom w:w="50" w:type="dxa"/>
              <w:right w:w="100" w:type="dxa"/>
            </w:tcMar>
            <w:vAlign w:val="center"/>
          </w:tcPr>
          <w:p w14:paraId="4EA66059" w14:textId="77777777" w:rsidR="003A0575" w:rsidRDefault="00000000">
            <w:r>
              <w:rPr>
                <w:sz w:val="18"/>
                <w:szCs w:val="18"/>
              </w:rPr>
              <w:t>References and acronyms</w:t>
            </w:r>
          </w:p>
        </w:tc>
        <w:tc>
          <w:tcPr>
            <w:tcW w:w="3000" w:type="dxa"/>
            <w:shd w:val="clear" w:color="auto" w:fill="F2F6F8"/>
            <w:tcMar>
              <w:top w:w="50" w:type="dxa"/>
              <w:left w:w="100" w:type="dxa"/>
              <w:bottom w:w="50" w:type="dxa"/>
              <w:right w:w="100" w:type="dxa"/>
            </w:tcMar>
            <w:vAlign w:val="center"/>
          </w:tcPr>
          <w:p w14:paraId="5FCB1065" w14:textId="77777777" w:rsidR="003A0575" w:rsidRDefault="00000000">
            <w:r>
              <w:rPr>
                <w:sz w:val="18"/>
                <w:szCs w:val="18"/>
              </w:rPr>
              <w:t>Superset already in Part 1 Annex A/B</w:t>
            </w:r>
          </w:p>
        </w:tc>
        <w:tc>
          <w:tcPr>
            <w:tcW w:w="2550" w:type="dxa"/>
            <w:shd w:val="clear" w:color="auto" w:fill="F2F6F8"/>
            <w:tcMar>
              <w:top w:w="50" w:type="dxa"/>
              <w:left w:w="100" w:type="dxa"/>
              <w:bottom w:w="50" w:type="dxa"/>
              <w:right w:w="100" w:type="dxa"/>
            </w:tcMar>
            <w:vAlign w:val="center"/>
          </w:tcPr>
          <w:p w14:paraId="0C40D946" w14:textId="77777777" w:rsidR="003A0575" w:rsidRDefault="00000000">
            <w:r>
              <w:rPr>
                <w:sz w:val="18"/>
                <w:szCs w:val="18"/>
              </w:rPr>
              <w:t>Part 1, Annex A.1 and Annex B</w:t>
            </w:r>
          </w:p>
        </w:tc>
      </w:tr>
    </w:tbl>
    <w:p w14:paraId="47EFDD11" w14:textId="77777777" w:rsidR="003A0575" w:rsidRDefault="003A0575">
      <w:pPr>
        <w:spacing w:after="160" w:line="276" w:lineRule="auto"/>
        <w:jc w:val="both"/>
      </w:pPr>
    </w:p>
    <w:p w14:paraId="5800BCBA" w14:textId="77777777" w:rsidR="003A0575" w:rsidRDefault="00000000">
      <w:pPr>
        <w:spacing w:after="160" w:line="276" w:lineRule="auto"/>
        <w:jc w:val="both"/>
      </w:pPr>
      <w:r>
        <w:t xml:space="preserve">Everything from here on is therefore new material: derivations of the five governing relations Part 1 §1.5 </w:t>
      </w:r>
      <w:proofErr w:type="gramStart"/>
      <w:r>
        <w:t>states, and</w:t>
      </w:r>
      <w:proofErr w:type="gramEnd"/>
      <w:r>
        <w:t xml:space="preserve"> worked numerical examples that quantify — rather than merely assert — the claims made qualitatively in Part 1 (for instance, that 5GDHC distribution losses fall “often by 75% or more” relative to 1GDH, or that meshing “lowers average pressure drop”). Readers who only need the headline formulas and their role in the wider Union Centrale argument should read Part 1 §1.5 and stop there; this document is for readers who want to reproduce or extend the numbers.</w:t>
      </w:r>
    </w:p>
    <w:p w14:paraId="2F550676" w14:textId="77777777" w:rsidR="003A0575" w:rsidRDefault="00000000">
      <w:pPr>
        <w:pStyle w:val="Heading1"/>
        <w:spacing w:before="420"/>
      </w:pPr>
      <w:bookmarkStart w:id="2" w:name="_Toc239465080"/>
      <w:r>
        <w:t>1. Heat Transport and Energy Balance</w:t>
      </w:r>
      <w:bookmarkEnd w:id="2"/>
    </w:p>
    <w:p w14:paraId="6BE59D01" w14:textId="77777777" w:rsidR="003A0575" w:rsidRDefault="00000000">
      <w:pPr>
        <w:pStyle w:val="Heading2"/>
        <w:spacing w:before="300"/>
      </w:pPr>
      <w:bookmarkStart w:id="3" w:name="_Toc239465081"/>
      <w:r>
        <w:t>1.1 Derivation</w:t>
      </w:r>
      <w:bookmarkEnd w:id="3"/>
    </w:p>
    <w:p w14:paraId="62C51BC8" w14:textId="77777777" w:rsidR="003A0575" w:rsidRDefault="00000000">
      <w:pPr>
        <w:spacing w:after="160" w:line="276" w:lineRule="auto"/>
        <w:jc w:val="both"/>
      </w:pPr>
      <w:r>
        <w:t xml:space="preserve">A fluid stream carries thermal power in proportion to its mass flow </w:t>
      </w:r>
      <w:proofErr w:type="gramStart"/>
      <w:r>
        <w:t>rate</w:t>
      </w:r>
      <w:proofErr w:type="gramEnd"/>
      <w:r>
        <w:t xml:space="preserve"> and the temperature drop it undergoes between two points. For an incompressible fluid with negligible kinetic and potential energy change, the steady-flow energy balance over a control volume reduces to:</w:t>
      </w:r>
    </w:p>
    <w:p w14:paraId="3EC7C191" w14:textId="77777777" w:rsidR="003A0575" w:rsidRDefault="00000000">
      <w:pPr>
        <w:spacing w:before="160" w:after="160"/>
        <w:jc w:val="center"/>
      </w:pPr>
      <w:r>
        <w:rPr>
          <w:noProof/>
        </w:rPr>
        <w:drawing>
          <wp:inline distT="0" distB="0" distL="0" distR="0" wp14:anchorId="0735405F" wp14:editId="21DDD013">
            <wp:extent cx="1874520" cy="52289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41261" cy="541510"/>
                    </a:xfrm>
                    <a:prstGeom prst="rect">
                      <a:avLst/>
                    </a:prstGeom>
                  </pic:spPr>
                </pic:pic>
              </a:graphicData>
            </a:graphic>
          </wp:inline>
        </w:drawing>
      </w:r>
    </w:p>
    <w:p w14:paraId="10599F76" w14:textId="77777777" w:rsidR="003A0575" w:rsidRDefault="00000000">
      <w:pPr>
        <w:spacing w:after="160" w:line="276" w:lineRule="auto"/>
        <w:jc w:val="both"/>
      </w:pPr>
      <w:r>
        <w:t>where ṁ is the mass flow rate (kg/s), cₚ is the specific heat capacity at constant pressure (J/</w:t>
      </w:r>
      <w:proofErr w:type="spellStart"/>
      <w:r>
        <w:t>kg·K</w:t>
      </w:r>
      <w:proofErr w:type="spellEnd"/>
      <w:r>
        <w:t>, ≈ 4,180 J/</w:t>
      </w:r>
      <w:proofErr w:type="spellStart"/>
      <w:r>
        <w:t>kg·K</w:t>
      </w:r>
      <w:proofErr w:type="spellEnd"/>
      <w:r>
        <w:t xml:space="preserve"> for water near 50–80 °C), and ΔT is the temperature difference between supply and return (K). This is simply the first law of thermodynamics applied to a pipe: the enthalpy the fluid loses (or gains) as it flows from supply to return equals the heat delivered (or absorbed) along the way, since no work is done and elevation change is negligible.</w:t>
      </w:r>
    </w:p>
    <w:p w14:paraId="594725CB" w14:textId="77777777" w:rsidR="003A0575" w:rsidRDefault="00000000">
      <w:pPr>
        <w:spacing w:after="160" w:line="276" w:lineRule="auto"/>
        <w:jc w:val="both"/>
      </w:pPr>
      <w:r>
        <w:t>Rearranged for design purposes, the mass flow required to deliver a given power is:</w:t>
      </w:r>
    </w:p>
    <w:p w14:paraId="1981B1DE" w14:textId="77777777" w:rsidR="003A0575" w:rsidRDefault="00000000">
      <w:pPr>
        <w:spacing w:before="160" w:after="160"/>
        <w:jc w:val="center"/>
      </w:pPr>
      <w:r>
        <w:rPr>
          <w:noProof/>
        </w:rPr>
        <w:lastRenderedPageBreak/>
        <w:drawing>
          <wp:inline distT="0" distB="0" distL="0" distR="0" wp14:anchorId="2EEBF2E8" wp14:editId="417E91AC">
            <wp:extent cx="1730560" cy="1001903"/>
            <wp:effectExtent l="0" t="0" r="0" b="0"/>
            <wp:docPr id="1357724147" name="Picture 135772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781686" cy="1031502"/>
                    </a:xfrm>
                    <a:prstGeom prst="rect">
                      <a:avLst/>
                    </a:prstGeom>
                  </pic:spPr>
                </pic:pic>
              </a:graphicData>
            </a:graphic>
          </wp:inline>
        </w:drawing>
      </w:r>
    </w:p>
    <w:p w14:paraId="1F915250" w14:textId="77777777" w:rsidR="003A0575" w:rsidRDefault="00000000">
      <w:pPr>
        <w:spacing w:after="160" w:line="276" w:lineRule="auto"/>
        <w:jc w:val="both"/>
      </w:pPr>
      <w:r>
        <w:t xml:space="preserve">This single relation is the origin of the central hydraulic trade-off in every generation of district heating: for a </w:t>
      </w:r>
      <w:r>
        <w:rPr>
          <w:b/>
          <w:bCs/>
        </w:rPr>
        <w:t>fixed delivered power</w:t>
      </w:r>
      <w:r>
        <w:t>, halving ΔT doubles the required mass flow. Since pipe pumping power scales with roughly the cube of flow velocity (§5 below), this is not a minor detail — it is the reason 5GDHC networks, which operate at ΔT as low as 5–10 K rather than the 20–30 K typical of 3GDH/4GDH, cannot simply reuse 3GDH pipe sizing rules.</w:t>
      </w:r>
    </w:p>
    <w:p w14:paraId="250F978A" w14:textId="77777777" w:rsidR="003A0575" w:rsidRDefault="00000000">
      <w:pPr>
        <w:pStyle w:val="Heading2"/>
        <w:spacing w:before="300"/>
      </w:pPr>
      <w:bookmarkStart w:id="4" w:name="_Toc239465082"/>
      <w:r>
        <w:t>1.2 Worked example</w:t>
      </w:r>
      <w:bookmarkEnd w:id="4"/>
    </w:p>
    <w:p w14:paraId="62353FC1" w14:textId="77777777" w:rsidR="003A0575" w:rsidRDefault="00000000">
      <w:pPr>
        <w:spacing w:after="160" w:line="276" w:lineRule="auto"/>
        <w:jc w:val="both"/>
      </w:pPr>
      <w:r>
        <w:t>A substation must deliver 1 MW of heat. At a 3GDH ΔT of 30 K (e.g. 80 °C supply, 50 °C return), and at a 5GDHC ΔT of 5 K (e.g. 20 °C supply, 15 °C return):</w:t>
      </w:r>
    </w:p>
    <w:p w14:paraId="2FDBB8EA" w14:textId="77777777" w:rsidR="003A0575" w:rsidRDefault="00000000">
      <w:pPr>
        <w:spacing w:before="160" w:after="160"/>
        <w:jc w:val="center"/>
      </w:pPr>
      <w:r>
        <w:rPr>
          <w:noProof/>
        </w:rPr>
        <w:drawing>
          <wp:inline distT="0" distB="0" distL="0" distR="0" wp14:anchorId="23BCDEF0" wp14:editId="1FC15037">
            <wp:extent cx="4381500" cy="1714500"/>
            <wp:effectExtent l="0" t="0" r="0" b="0"/>
            <wp:docPr id="1608114180" name="Picture 16081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1714500"/>
                    </a:xfrm>
                    <a:prstGeom prst="rect">
                      <a:avLst/>
                    </a:prstGeom>
                  </pic:spPr>
                </pic:pic>
              </a:graphicData>
            </a:graphic>
          </wp:inline>
        </w:drawing>
      </w:r>
    </w:p>
    <w:p w14:paraId="1B51AEC5" w14:textId="6074FE06" w:rsidR="004E2A6A" w:rsidRDefault="00000000">
      <w:pPr>
        <w:spacing w:after="160" w:line="276" w:lineRule="auto"/>
        <w:jc w:val="both"/>
      </w:pPr>
      <w:r>
        <w:t>The 5GDHC case requires six times the mass flow for the same delivered power. Section 5 carries this same pair of numbers through the hydraulic-loss calculation to show what it costs in pumping energy, and why meshing is the structural answer rather than an optional refinement.</w:t>
      </w:r>
    </w:p>
    <w:p w14:paraId="0342117D" w14:textId="77777777" w:rsidR="004E2A6A" w:rsidRDefault="004E2A6A">
      <w:r>
        <w:br w:type="page"/>
      </w:r>
    </w:p>
    <w:p w14:paraId="5B22C88F" w14:textId="77777777" w:rsidR="003A0575" w:rsidRDefault="003A0575">
      <w:pPr>
        <w:spacing w:after="160" w:line="276" w:lineRule="auto"/>
        <w:jc w:val="both"/>
      </w:pPr>
    </w:p>
    <w:p w14:paraId="27AA732A" w14:textId="77777777" w:rsidR="003A0575" w:rsidRDefault="00000000">
      <w:pPr>
        <w:pStyle w:val="Heading1"/>
        <w:spacing w:before="420"/>
      </w:pPr>
      <w:bookmarkStart w:id="5" w:name="_Toc239465083"/>
      <w:r>
        <w:t>2. Distribution Heat Losses</w:t>
      </w:r>
      <w:bookmarkEnd w:id="5"/>
    </w:p>
    <w:p w14:paraId="5110E38E" w14:textId="77777777" w:rsidR="003A0575" w:rsidRDefault="00000000">
      <w:pPr>
        <w:pStyle w:val="Heading2"/>
        <w:spacing w:before="300"/>
      </w:pPr>
      <w:bookmarkStart w:id="6" w:name="_Toc239465084"/>
      <w:r>
        <w:t>2.1 Derivation</w:t>
      </w:r>
      <w:bookmarkEnd w:id="6"/>
    </w:p>
    <w:p w14:paraId="0FF69B80" w14:textId="77777777" w:rsidR="003A0575" w:rsidRDefault="00000000">
      <w:pPr>
        <w:spacing w:after="160" w:line="276" w:lineRule="auto"/>
        <w:jc w:val="both"/>
      </w:pPr>
      <w:r>
        <w:t>Heat escaping a buried, insulated pipe travels by conduction through the insulation and, beyond it, through the soil to the undisturbed far-field ground temperature. For a single cylindrical insulation layer, steady-state radial conduction gives a loss per unit pipe length of:</w:t>
      </w:r>
    </w:p>
    <w:p w14:paraId="02B839F9" w14:textId="77777777" w:rsidR="003A0575" w:rsidRDefault="00000000">
      <w:pPr>
        <w:spacing w:before="160" w:after="160"/>
        <w:jc w:val="center"/>
      </w:pPr>
      <w:r>
        <w:rPr>
          <w:noProof/>
        </w:rPr>
        <w:drawing>
          <wp:inline distT="0" distB="0" distL="0" distR="0" wp14:anchorId="562F1C34" wp14:editId="6859E901">
            <wp:extent cx="3238500" cy="876300"/>
            <wp:effectExtent l="0" t="0" r="0" b="0"/>
            <wp:docPr id="1675911449" name="Picture 167591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238500" cy="876300"/>
                    </a:xfrm>
                    <a:prstGeom prst="rect">
                      <a:avLst/>
                    </a:prstGeom>
                  </pic:spPr>
                </pic:pic>
              </a:graphicData>
            </a:graphic>
          </wp:inline>
        </w:drawing>
      </w:r>
    </w:p>
    <w:p w14:paraId="7094A8F8" w14:textId="77777777" w:rsidR="003A0575" w:rsidRDefault="00000000">
      <w:pPr>
        <w:spacing w:after="160" w:line="276" w:lineRule="auto"/>
        <w:jc w:val="both"/>
      </w:pPr>
      <w:r>
        <w:t xml:space="preserve">where </w:t>
      </w:r>
      <w:proofErr w:type="spellStart"/>
      <w:r>
        <w:t>T_f</w:t>
      </w:r>
      <w:proofErr w:type="spellEnd"/>
      <w:r>
        <w:t xml:space="preserve"> is the fluid temperature, </w:t>
      </w:r>
      <w:proofErr w:type="spellStart"/>
      <w:r>
        <w:t>T_g</w:t>
      </w:r>
      <w:proofErr w:type="spellEnd"/>
      <w:r>
        <w:t xml:space="preserve"> is the ground temperature, </w:t>
      </w:r>
      <w:proofErr w:type="spellStart"/>
      <w:r>
        <w:t>λ_ins</w:t>
      </w:r>
      <w:proofErr w:type="spellEnd"/>
      <w:r>
        <w:t xml:space="preserve"> is the insulation's thermal conductivity (W/</w:t>
      </w:r>
      <w:proofErr w:type="spellStart"/>
      <w:r>
        <w:t>m·K</w:t>
      </w:r>
      <w:proofErr w:type="spellEnd"/>
      <w:r>
        <w:t xml:space="preserve">), </w:t>
      </w:r>
      <w:proofErr w:type="spellStart"/>
      <w:r>
        <w:t>r</w:t>
      </w:r>
      <w:proofErr w:type="spellEnd"/>
      <w:r>
        <w:t xml:space="preserve"> is the pipe's outer radius, δ is the insulation thickness, and </w:t>
      </w:r>
      <w:proofErr w:type="spellStart"/>
      <w:r>
        <w:t>R_other</w:t>
      </w:r>
      <w:proofErr w:type="spellEnd"/>
      <w:r>
        <w:t xml:space="preserve"> lumps together any additional thermal resistance (soil, pipe wall, internal film coefficient) not explicitly modelled. The (1/</w:t>
      </w:r>
      <w:proofErr w:type="spellStart"/>
      <w:r>
        <w:t>λ_</w:t>
      </w:r>
      <w:proofErr w:type="gramStart"/>
      <w:r>
        <w:t>ins</w:t>
      </w:r>
      <w:proofErr w:type="spellEnd"/>
      <w:r>
        <w:t>)·</w:t>
      </w:r>
      <w:proofErr w:type="gramEnd"/>
      <w:r>
        <w:t>ln((</w:t>
      </w:r>
      <w:proofErr w:type="spellStart"/>
      <w:r>
        <w:t>r+δ</w:t>
      </w:r>
      <w:proofErr w:type="spellEnd"/>
      <w:r>
        <w:t>)/r) term is the standard cylindrical-wall conduction resistance per unit length; it is exactly analogous to the planar conduction resistance L/</w:t>
      </w:r>
      <w:proofErr w:type="spellStart"/>
      <w:r>
        <w:t>λ·A</w:t>
      </w:r>
      <w:proofErr w:type="spellEnd"/>
      <w:r>
        <w:t>, but accounts for the fact that a cylindrical shell's cross-sectional area for conduction grows with radius.</w:t>
      </w:r>
    </w:p>
    <w:p w14:paraId="1223360C" w14:textId="77777777" w:rsidR="003A0575" w:rsidRDefault="00000000">
      <w:pPr>
        <w:spacing w:after="160" w:line="276" w:lineRule="auto"/>
        <w:jc w:val="both"/>
      </w:pPr>
      <w:r>
        <w:t xml:space="preserve">More generally, once the resistances of every layer (pipe wall, insulation, soil) are summed into an overall resistance </w:t>
      </w:r>
      <w:proofErr w:type="spellStart"/>
      <w:r>
        <w:t>R_total</w:t>
      </w:r>
      <w:proofErr w:type="spellEnd"/>
      <w:r>
        <w:t>, the loss can be written as follows, with U the overall heat-transfer coefficient:</w:t>
      </w:r>
    </w:p>
    <w:p w14:paraId="6BDD2FD1" w14:textId="77777777" w:rsidR="003A0575" w:rsidRDefault="00000000">
      <w:pPr>
        <w:spacing w:before="160" w:after="160"/>
        <w:jc w:val="center"/>
      </w:pPr>
      <w:r>
        <w:rPr>
          <w:noProof/>
        </w:rPr>
        <w:drawing>
          <wp:inline distT="0" distB="0" distL="0" distR="0" wp14:anchorId="5C4CBDB4" wp14:editId="07168347">
            <wp:extent cx="3619500" cy="561975"/>
            <wp:effectExtent l="0" t="0" r="0" b="0"/>
            <wp:docPr id="923240810" name="Picture 92324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561975"/>
                    </a:xfrm>
                    <a:prstGeom prst="rect">
                      <a:avLst/>
                    </a:prstGeom>
                  </pic:spPr>
                </pic:pic>
              </a:graphicData>
            </a:graphic>
          </wp:inline>
        </w:drawing>
      </w:r>
    </w:p>
    <w:p w14:paraId="1F804D61" w14:textId="77777777" w:rsidR="003A0575" w:rsidRDefault="00000000">
      <w:pPr>
        <w:spacing w:after="160" w:line="276" w:lineRule="auto"/>
        <w:jc w:val="both"/>
      </w:pPr>
      <w:r>
        <w:t xml:space="preserve">Because insulation dominates </w:t>
      </w:r>
      <w:proofErr w:type="spellStart"/>
      <w:r>
        <w:t>R_total</w:t>
      </w:r>
      <w:proofErr w:type="spellEnd"/>
      <w:r>
        <w:t xml:space="preserve"> in a well-built pre-insulated pipe (soil and pipe-wall resistance are typically small by comparison), the practical design lever is δ and </w:t>
      </w:r>
      <w:proofErr w:type="spellStart"/>
      <w:r>
        <w:t>λ_ins</w:t>
      </w:r>
      <w:proofErr w:type="spellEnd"/>
      <w:r>
        <w:t xml:space="preserve"> — and, for network operators rather than pipe manufacturers, </w:t>
      </w:r>
      <w:proofErr w:type="spellStart"/>
      <w:r>
        <w:t>T_f</w:t>
      </w:r>
      <w:proofErr w:type="spellEnd"/>
      <w:r>
        <w:t xml:space="preserve">: the lower the operating temperature, the smaller ΔT = </w:t>
      </w:r>
      <w:proofErr w:type="spellStart"/>
      <w:r>
        <w:t>T_f</w:t>
      </w:r>
      <w:proofErr w:type="spellEnd"/>
      <w:r>
        <w:t xml:space="preserve"> − </w:t>
      </w:r>
      <w:proofErr w:type="spellStart"/>
      <w:r>
        <w:t>T_g</w:t>
      </w:r>
      <w:proofErr w:type="spellEnd"/>
      <w:r>
        <w:t xml:space="preserve"> and the smaller the loss, for an </w:t>
      </w:r>
      <w:r>
        <w:rPr>
          <w:b/>
          <w:bCs/>
        </w:rPr>
        <w:t>identical pipe</w:t>
      </w:r>
      <w:r>
        <w:t>.</w:t>
      </w:r>
    </w:p>
    <w:p w14:paraId="18253DA9" w14:textId="77777777" w:rsidR="003A0575" w:rsidRDefault="00000000">
      <w:pPr>
        <w:spacing w:before="200" w:after="80"/>
        <w:jc w:val="center"/>
      </w:pPr>
      <w:r>
        <w:rPr>
          <w:noProof/>
        </w:rPr>
        <w:lastRenderedPageBreak/>
        <w:drawing>
          <wp:inline distT="0" distB="0" distL="0" distR="0" wp14:anchorId="05B6E8F4" wp14:editId="551387EB">
            <wp:extent cx="5334000" cy="5362575"/>
            <wp:effectExtent l="0" t="0" r="0" b="0"/>
            <wp:docPr id="2087481333" name="Picture 208748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5362575"/>
                    </a:xfrm>
                    <a:prstGeom prst="rect">
                      <a:avLst/>
                    </a:prstGeom>
                  </pic:spPr>
                </pic:pic>
              </a:graphicData>
            </a:graphic>
          </wp:inline>
        </w:drawing>
      </w:r>
    </w:p>
    <w:p w14:paraId="67BB3171" w14:textId="77777777" w:rsidR="003A0575" w:rsidRDefault="00000000">
      <w:pPr>
        <w:spacing w:after="240"/>
        <w:jc w:val="center"/>
      </w:pPr>
      <w:r>
        <w:rPr>
          <w:i/>
          <w:iCs/>
          <w:sz w:val="18"/>
          <w:szCs w:val="18"/>
        </w:rPr>
        <w:t xml:space="preserve">Figure 1. Radial conduction path for a buried insulated pipe: fluid at </w:t>
      </w:r>
      <w:proofErr w:type="spellStart"/>
      <w:r>
        <w:rPr>
          <w:i/>
          <w:iCs/>
          <w:sz w:val="18"/>
          <w:szCs w:val="18"/>
        </w:rPr>
        <w:t>T_f</w:t>
      </w:r>
      <w:proofErr w:type="spellEnd"/>
      <w:r>
        <w:rPr>
          <w:i/>
          <w:iCs/>
          <w:sz w:val="18"/>
          <w:szCs w:val="18"/>
        </w:rPr>
        <w:t xml:space="preserve">, insulation of thickness δ and conductivity </w:t>
      </w:r>
      <w:proofErr w:type="spellStart"/>
      <w:r>
        <w:rPr>
          <w:i/>
          <w:iCs/>
          <w:sz w:val="18"/>
          <w:szCs w:val="18"/>
        </w:rPr>
        <w:t>λ_ins</w:t>
      </w:r>
      <w:proofErr w:type="spellEnd"/>
      <w:r>
        <w:rPr>
          <w:i/>
          <w:iCs/>
          <w:sz w:val="18"/>
          <w:szCs w:val="18"/>
        </w:rPr>
        <w:t xml:space="preserve"> around a pipe of outer radius r, losing heat to soil at far-field temperature </w:t>
      </w:r>
      <w:proofErr w:type="spellStart"/>
      <w:r>
        <w:rPr>
          <w:i/>
          <w:iCs/>
          <w:sz w:val="18"/>
          <w:szCs w:val="18"/>
        </w:rPr>
        <w:t>T_g</w:t>
      </w:r>
      <w:proofErr w:type="spellEnd"/>
      <w:r>
        <w:rPr>
          <w:i/>
          <w:iCs/>
          <w:sz w:val="18"/>
          <w:szCs w:val="18"/>
        </w:rPr>
        <w:t xml:space="preserve">. Source: author’s schematic, illustrating the </w:t>
      </w:r>
      <w:proofErr w:type="spellStart"/>
      <w:r>
        <w:rPr>
          <w:i/>
          <w:iCs/>
          <w:sz w:val="18"/>
          <w:szCs w:val="18"/>
        </w:rPr>
        <w:t>q̇_loss</w:t>
      </w:r>
      <w:proofErr w:type="spellEnd"/>
      <w:r>
        <w:rPr>
          <w:i/>
          <w:iCs/>
          <w:sz w:val="18"/>
          <w:szCs w:val="18"/>
        </w:rPr>
        <w:t xml:space="preserve"> formula in Part 1 §1.5 / this document §2.1.</w:t>
      </w:r>
    </w:p>
    <w:p w14:paraId="1364ACF9" w14:textId="77777777" w:rsidR="003A0575" w:rsidRDefault="00000000">
      <w:pPr>
        <w:pStyle w:val="Heading2"/>
        <w:spacing w:before="300"/>
      </w:pPr>
      <w:bookmarkStart w:id="7" w:name="_Toc239465085"/>
      <w:r>
        <w:t>2.2 Worked example: distribution loss by generation</w:t>
      </w:r>
      <w:bookmarkEnd w:id="7"/>
    </w:p>
    <w:p w14:paraId="184C75AC" w14:textId="77777777" w:rsidR="003A0575" w:rsidRDefault="00000000">
      <w:pPr>
        <w:spacing w:after="160" w:line="276" w:lineRule="auto"/>
        <w:jc w:val="both"/>
      </w:pPr>
      <w:r>
        <w:t xml:space="preserve">Take a representative DN100 pre-insulated pipe (outer pipe radius r = 0.05 m) with 50 mm of polyurethane (PUR) foam insulation (δ = 0.05 m, </w:t>
      </w:r>
      <w:proofErr w:type="spellStart"/>
      <w:r>
        <w:t>λ_ins</w:t>
      </w:r>
      <w:proofErr w:type="spellEnd"/>
      <w:r>
        <w:t xml:space="preserve"> ≈ 0.027 W/</w:t>
      </w:r>
      <w:proofErr w:type="spellStart"/>
      <w:r>
        <w:t>m·K</w:t>
      </w:r>
      <w:proofErr w:type="spellEnd"/>
      <w:r>
        <w:t xml:space="preserve">, a typical manufacturer value for aged PUR), a lumped additional resistance </w:t>
      </w:r>
      <w:proofErr w:type="spellStart"/>
      <w:r>
        <w:t>R_other</w:t>
      </w:r>
      <w:proofErr w:type="spellEnd"/>
      <w:r>
        <w:t xml:space="preserve"> = 0.10 </w:t>
      </w:r>
      <w:proofErr w:type="spellStart"/>
      <w:r>
        <w:t>m·K</w:t>
      </w:r>
      <w:proofErr w:type="spellEnd"/>
      <w:r>
        <w:t xml:space="preserve">/W (illustrative, covering soil and pipe-wall effects), and a ground temperature </w:t>
      </w:r>
      <w:proofErr w:type="spellStart"/>
      <w:r>
        <w:t>T_g</w:t>
      </w:r>
      <w:proofErr w:type="spellEnd"/>
      <w:r>
        <w:t xml:space="preserve"> = 10 °C:</w:t>
      </w:r>
    </w:p>
    <w:p w14:paraId="484AF737" w14:textId="77777777" w:rsidR="003A0575" w:rsidRDefault="00000000">
      <w:pPr>
        <w:spacing w:before="160" w:after="160"/>
        <w:jc w:val="center"/>
      </w:pPr>
      <w:r>
        <w:rPr>
          <w:noProof/>
        </w:rPr>
        <w:drawing>
          <wp:inline distT="0" distB="0" distL="0" distR="0" wp14:anchorId="695233CF" wp14:editId="119A8C8E">
            <wp:extent cx="4381500" cy="457200"/>
            <wp:effectExtent l="0" t="0" r="0" b="0"/>
            <wp:docPr id="2069285851" name="Picture 206928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381500" cy="457200"/>
                    </a:xfrm>
                    <a:prstGeom prst="rect">
                      <a:avLst/>
                    </a:prstGeom>
                  </pic:spPr>
                </pic:pic>
              </a:graphicData>
            </a:graphic>
          </wp:inline>
        </w:drawing>
      </w:r>
    </w:p>
    <w:p w14:paraId="7EFAC780" w14:textId="77777777" w:rsidR="003A0575" w:rsidRDefault="00000000">
      <w:pPr>
        <w:spacing w:after="160" w:line="276" w:lineRule="auto"/>
        <w:jc w:val="both"/>
      </w:pPr>
      <w:r>
        <w:t>confirming that insulation, not soil, dominates in this configuration.</w:t>
      </w:r>
    </w:p>
    <w:p w14:paraId="75C4877C" w14:textId="77777777" w:rsidR="003A0575" w:rsidRDefault="00000000">
      <w:pPr>
        <w:spacing w:before="200" w:after="80"/>
        <w:jc w:val="center"/>
      </w:pPr>
      <w:r>
        <w:rPr>
          <w:noProof/>
        </w:rPr>
        <w:lastRenderedPageBreak/>
        <w:drawing>
          <wp:inline distT="0" distB="0" distL="0" distR="0" wp14:anchorId="710EDCD4" wp14:editId="623AA886">
            <wp:extent cx="5334000" cy="3257550"/>
            <wp:effectExtent l="0" t="0" r="0" b="0"/>
            <wp:docPr id="1613066703" name="Picture 161306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34000" cy="3257550"/>
                    </a:xfrm>
                    <a:prstGeom prst="rect">
                      <a:avLst/>
                    </a:prstGeom>
                  </pic:spPr>
                </pic:pic>
              </a:graphicData>
            </a:graphic>
          </wp:inline>
        </w:drawing>
      </w:r>
    </w:p>
    <w:p w14:paraId="0F8EA858" w14:textId="77777777" w:rsidR="003A0575" w:rsidRDefault="00000000">
      <w:pPr>
        <w:spacing w:after="240"/>
        <w:jc w:val="center"/>
      </w:pPr>
      <w:r>
        <w:rPr>
          <w:i/>
          <w:iCs/>
          <w:sz w:val="18"/>
          <w:szCs w:val="18"/>
        </w:rPr>
        <w:t>Figure 2. Worked, assumption-explicit comparison of distribution heat loss per metre of pipe run at representative supply temperatures for 1GDH (≈150 °C steam), 3GDH (≈80 °C water), and 5GDHC (≈20 °C ambient), using the pipe and insulation parameters in §2.2. This is an illustrative parametric example, not a measured or project-specific figure; it is presented to give the “often by 75% or more” reduction already stated qualitatively in Part 1 §1.5 an explicit, reproducible number.</w:t>
      </w:r>
    </w:p>
    <w:p w14:paraId="6EDCFB07" w14:textId="77777777" w:rsidR="003A0575" w:rsidRDefault="00000000">
      <w:pPr>
        <w:spacing w:after="160" w:line="276" w:lineRule="auto"/>
        <w:jc w:val="both"/>
      </w:pPr>
      <w:r>
        <w:t xml:space="preserve">Applying the general form at </w:t>
      </w:r>
      <w:proofErr w:type="spellStart"/>
      <w:r>
        <w:t>T_f</w:t>
      </w:r>
      <w:proofErr w:type="spellEnd"/>
      <w:r>
        <w:t xml:space="preserve"> = 150 °C, 80 °C and 20 °C:</w:t>
      </w:r>
    </w:p>
    <w:p w14:paraId="2E972B30" w14:textId="77777777" w:rsidR="003A0575" w:rsidRDefault="00000000">
      <w:pPr>
        <w:spacing w:before="160" w:after="160"/>
        <w:jc w:val="center"/>
      </w:pPr>
      <w:r>
        <w:rPr>
          <w:noProof/>
        </w:rPr>
        <w:drawing>
          <wp:inline distT="0" distB="0" distL="0" distR="0" wp14:anchorId="7F601217" wp14:editId="23A2EE66">
            <wp:extent cx="2095500" cy="790575"/>
            <wp:effectExtent l="0" t="0" r="0" b="0"/>
            <wp:docPr id="1397539815" name="Picture 139753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0" cy="790575"/>
                    </a:xfrm>
                    <a:prstGeom prst="rect">
                      <a:avLst/>
                    </a:prstGeom>
                  </pic:spPr>
                </pic:pic>
              </a:graphicData>
            </a:graphic>
          </wp:inline>
        </w:drawing>
      </w:r>
    </w:p>
    <w:p w14:paraId="78609CA3" w14:textId="77777777" w:rsidR="003A0575" w:rsidRDefault="00000000">
      <w:pPr>
        <w:spacing w:before="160" w:after="160"/>
        <w:jc w:val="center"/>
      </w:pPr>
      <w:r>
        <w:rPr>
          <w:noProof/>
        </w:rPr>
        <w:drawing>
          <wp:inline distT="0" distB="0" distL="0" distR="0" wp14:anchorId="3CA08410" wp14:editId="289223BD">
            <wp:extent cx="6267796" cy="265176"/>
            <wp:effectExtent l="0" t="0" r="0" b="0"/>
            <wp:docPr id="646681640" name="Picture 64668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6608081" cy="279573"/>
                    </a:xfrm>
                    <a:prstGeom prst="rect">
                      <a:avLst/>
                    </a:prstGeom>
                  </pic:spPr>
                </pic:pic>
              </a:graphicData>
            </a:graphic>
          </wp:inline>
        </w:drawing>
      </w:r>
    </w:p>
    <w:p w14:paraId="2D660F01" w14:textId="77777777" w:rsidR="003A0575" w:rsidRDefault="00000000">
      <w:pPr>
        <w:spacing w:after="160" w:line="276" w:lineRule="auto"/>
        <w:jc w:val="both"/>
      </w:pPr>
      <w:r>
        <w:t xml:space="preserve">a 93% reduction from 1GDH to 5GDHC in this worked example, comfortably inside (and somewhat beyond) the “75% or more” range Part 1 states. The result is sensitive to the assumed insulation thickness and conductivity, which is exactly why it is presented here as a reproducible calculation with stated inputs rather than as a general statistic: a reader with project-specific pipe data can substitute their own r, δ, </w:t>
      </w:r>
      <w:proofErr w:type="spellStart"/>
      <w:r>
        <w:t>λ_ins</w:t>
      </w:r>
      <w:proofErr w:type="spellEnd"/>
      <w:r>
        <w:t xml:space="preserve"> and </w:t>
      </w:r>
      <w:proofErr w:type="spellStart"/>
      <w:r>
        <w:t>T_g</w:t>
      </w:r>
      <w:proofErr w:type="spellEnd"/>
      <w:r>
        <w:t xml:space="preserve"> directly into the same formula.</w:t>
      </w:r>
    </w:p>
    <w:p w14:paraId="3F5A6185" w14:textId="77777777" w:rsidR="003A0575" w:rsidRDefault="00000000">
      <w:pPr>
        <w:pStyle w:val="Heading1"/>
        <w:spacing w:before="420"/>
      </w:pPr>
      <w:bookmarkStart w:id="8" w:name="_Toc239465086"/>
      <w:r>
        <w:t>3. Heat-Pump Performance: Carnot and Real COP</w:t>
      </w:r>
      <w:bookmarkEnd w:id="8"/>
    </w:p>
    <w:p w14:paraId="095C0216" w14:textId="77777777" w:rsidR="003A0575" w:rsidRDefault="00000000">
      <w:pPr>
        <w:pStyle w:val="Heading2"/>
        <w:spacing w:before="300"/>
      </w:pPr>
      <w:bookmarkStart w:id="9" w:name="_Toc239465087"/>
      <w:r>
        <w:t>3.1 Derivation</w:t>
      </w:r>
      <w:bookmarkEnd w:id="9"/>
    </w:p>
    <w:p w14:paraId="29C8C682" w14:textId="77777777" w:rsidR="003A0575" w:rsidRDefault="00000000">
      <w:pPr>
        <w:spacing w:after="160" w:line="276" w:lineRule="auto"/>
        <w:jc w:val="both"/>
      </w:pPr>
      <w:r>
        <w:t xml:space="preserve">The Carnot cycle sets the theoretical efficiency ceiling for any heat pump operating between a cold reservoir at </w:t>
      </w:r>
      <w:proofErr w:type="spellStart"/>
      <w:r>
        <w:t>T_cold</w:t>
      </w:r>
      <w:proofErr w:type="spellEnd"/>
      <w:r>
        <w:t xml:space="preserve"> and a hot reservoir at </w:t>
      </w:r>
      <w:proofErr w:type="spellStart"/>
      <w:r>
        <w:t>T_hot</w:t>
      </w:r>
      <w:proofErr w:type="spellEnd"/>
      <w:r>
        <w:t xml:space="preserve"> (both in kelvin). For heating and cooling duty respectively:</w:t>
      </w:r>
    </w:p>
    <w:p w14:paraId="16742BC4" w14:textId="77777777" w:rsidR="003A0575" w:rsidRDefault="00000000">
      <w:pPr>
        <w:spacing w:before="160" w:after="160"/>
        <w:jc w:val="center"/>
      </w:pPr>
      <w:r>
        <w:rPr>
          <w:noProof/>
        </w:rPr>
        <w:drawing>
          <wp:inline distT="0" distB="0" distL="0" distR="0" wp14:anchorId="4C31AC12" wp14:editId="28A307C8">
            <wp:extent cx="3238500" cy="581025"/>
            <wp:effectExtent l="0" t="0" r="0" b="0"/>
            <wp:docPr id="369031819" name="Picture 36903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238500" cy="581025"/>
                    </a:xfrm>
                    <a:prstGeom prst="rect">
                      <a:avLst/>
                    </a:prstGeom>
                  </pic:spPr>
                </pic:pic>
              </a:graphicData>
            </a:graphic>
          </wp:inline>
        </w:drawing>
      </w:r>
    </w:p>
    <w:p w14:paraId="01BFBD12" w14:textId="77777777" w:rsidR="003A0575" w:rsidRDefault="00000000">
      <w:pPr>
        <w:spacing w:before="160" w:after="160"/>
        <w:jc w:val="center"/>
      </w:pPr>
      <w:r>
        <w:rPr>
          <w:noProof/>
        </w:rPr>
        <w:drawing>
          <wp:inline distT="0" distB="0" distL="0" distR="0" wp14:anchorId="116E43F3" wp14:editId="4E316EE8">
            <wp:extent cx="3238500" cy="590550"/>
            <wp:effectExtent l="0" t="0" r="0" b="0"/>
            <wp:docPr id="355715328" name="Picture 35571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238500" cy="590550"/>
                    </a:xfrm>
                    <a:prstGeom prst="rect">
                      <a:avLst/>
                    </a:prstGeom>
                  </pic:spPr>
                </pic:pic>
              </a:graphicData>
            </a:graphic>
          </wp:inline>
        </w:drawing>
      </w:r>
    </w:p>
    <w:p w14:paraId="33C51E3A" w14:textId="77777777" w:rsidR="003A0575" w:rsidRDefault="00000000">
      <w:pPr>
        <w:spacing w:after="160" w:line="276" w:lineRule="auto"/>
        <w:jc w:val="both"/>
      </w:pPr>
      <w:r>
        <w:t xml:space="preserve">Both follow directly from applying the Carnot efficiency </w:t>
      </w:r>
      <w:proofErr w:type="spellStart"/>
      <w:r>
        <w:t>η_Carnot</w:t>
      </w:r>
      <w:proofErr w:type="spellEnd"/>
      <w:r>
        <w:t xml:space="preserve"> = 1 − </w:t>
      </w:r>
      <w:proofErr w:type="spellStart"/>
      <w:r>
        <w:t>T_cold</w:t>
      </w:r>
      <w:proofErr w:type="spellEnd"/>
      <w:r>
        <w:t>/</w:t>
      </w:r>
      <w:proofErr w:type="spellStart"/>
      <w:r>
        <w:t>T_hot</w:t>
      </w:r>
      <w:proofErr w:type="spellEnd"/>
      <w:r>
        <w:t xml:space="preserve"> to a reversible heat pump: the heating COP is the reciprocal of that efficiency, since a heat pump delivers heat rather than work. The key structural feature, visible directly in </w:t>
      </w:r>
      <w:r>
        <w:lastRenderedPageBreak/>
        <w:t xml:space="preserve">the formula, is that </w:t>
      </w:r>
      <w:proofErr w:type="spellStart"/>
      <w:r>
        <w:t>COP_Carnot</w:t>
      </w:r>
      <w:proofErr w:type="spellEnd"/>
      <w:r>
        <w:t xml:space="preserve"> depends only on the </w:t>
      </w:r>
      <w:r>
        <w:rPr>
          <w:b/>
          <w:bCs/>
        </w:rPr>
        <w:t>lift</w:t>
      </w:r>
      <w:r>
        <w:t xml:space="preserve"> </w:t>
      </w:r>
      <w:proofErr w:type="spellStart"/>
      <w:r>
        <w:t>T_hot</w:t>
      </w:r>
      <w:proofErr w:type="spellEnd"/>
      <w:r>
        <w:t xml:space="preserve"> − </w:t>
      </w:r>
      <w:proofErr w:type="spellStart"/>
      <w:r>
        <w:t>T_cold</w:t>
      </w:r>
      <w:proofErr w:type="spellEnd"/>
      <w:r>
        <w:t>, not on the absolute temperatures themselves — a heat pump lifting from 15 °C to 45 °C (a 30 K lift) has the same Carnot ceiling as one lifting from 60 °C to 90 °C, even though the second pair of temperatures is much higher in absolute terms.</w:t>
      </w:r>
    </w:p>
    <w:p w14:paraId="2C2563E0" w14:textId="77777777" w:rsidR="003A0575" w:rsidRDefault="00000000">
      <w:pPr>
        <w:spacing w:after="160" w:line="276" w:lineRule="auto"/>
        <w:jc w:val="both"/>
      </w:pPr>
      <w:r>
        <w:t xml:space="preserve">Real machines fall short of the Carnot ceiling because real compression and heat exchange are irreversible. This is captured with a </w:t>
      </w:r>
      <w:proofErr w:type="gramStart"/>
      <w:r>
        <w:t>second-law</w:t>
      </w:r>
      <w:proofErr w:type="gramEnd"/>
      <w:r>
        <w:t xml:space="preserve"> (Carnot) efficiency </w:t>
      </w:r>
      <w:proofErr w:type="spellStart"/>
      <w:r>
        <w:t>η_Carnot</w:t>
      </w:r>
      <w:proofErr w:type="spellEnd"/>
      <w:r>
        <w:t>, typically 0.4–0.6 for well-designed commercial heat pumps:</w:t>
      </w:r>
    </w:p>
    <w:p w14:paraId="317559D3" w14:textId="77777777" w:rsidR="003A0575" w:rsidRDefault="00000000">
      <w:pPr>
        <w:spacing w:before="160" w:after="160"/>
        <w:jc w:val="center"/>
      </w:pPr>
      <w:r>
        <w:rPr>
          <w:noProof/>
        </w:rPr>
        <w:drawing>
          <wp:inline distT="0" distB="0" distL="0" distR="0" wp14:anchorId="5978ABDF" wp14:editId="056671F1">
            <wp:extent cx="2857500" cy="295275"/>
            <wp:effectExtent l="0" t="0" r="0" b="0"/>
            <wp:docPr id="376013316" name="Picture 3760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857500" cy="295275"/>
                    </a:xfrm>
                    <a:prstGeom prst="rect">
                      <a:avLst/>
                    </a:prstGeom>
                  </pic:spPr>
                </pic:pic>
              </a:graphicData>
            </a:graphic>
          </wp:inline>
        </w:drawing>
      </w:r>
    </w:p>
    <w:p w14:paraId="7E03B822" w14:textId="77777777" w:rsidR="003A0575" w:rsidRDefault="00000000">
      <w:pPr>
        <w:spacing w:after="160" w:line="276" w:lineRule="auto"/>
        <w:jc w:val="both"/>
      </w:pPr>
      <w:r>
        <w:t>Electricity consumption for a given heating duty follows directly as:</w:t>
      </w:r>
    </w:p>
    <w:p w14:paraId="6FBBF14D" w14:textId="77777777" w:rsidR="003A0575" w:rsidRDefault="00000000">
      <w:pPr>
        <w:spacing w:before="160" w:after="160"/>
        <w:jc w:val="center"/>
      </w:pPr>
      <w:r>
        <w:rPr>
          <w:noProof/>
        </w:rPr>
        <w:drawing>
          <wp:inline distT="0" distB="0" distL="0" distR="0" wp14:anchorId="462DDB8E" wp14:editId="3D76A25E">
            <wp:extent cx="1828800" cy="806335"/>
            <wp:effectExtent l="0" t="0" r="0" b="0"/>
            <wp:docPr id="324930934" name="Picture 32493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855419" cy="818072"/>
                    </a:xfrm>
                    <a:prstGeom prst="rect">
                      <a:avLst/>
                    </a:prstGeom>
                  </pic:spPr>
                </pic:pic>
              </a:graphicData>
            </a:graphic>
          </wp:inline>
        </w:drawing>
      </w:r>
    </w:p>
    <w:p w14:paraId="1825080B" w14:textId="77777777" w:rsidR="003A0575" w:rsidRDefault="00000000">
      <w:pPr>
        <w:spacing w:after="160" w:line="276" w:lineRule="auto"/>
        <w:jc w:val="both"/>
      </w:pPr>
      <w:r>
        <w:t xml:space="preserve">Section 2.5.4 of Part 1 builds on this same framework to show that </w:t>
      </w:r>
      <w:proofErr w:type="spellStart"/>
      <w:r>
        <w:t>η_Carnot</w:t>
      </w:r>
      <w:proofErr w:type="spellEnd"/>
      <w:r>
        <w:t xml:space="preserve"> itself is not fixed — it depends on the refrigerant used in the compression cycle, and that dependence flips direction around 100–120 °C delivery temperature. This document does not repeat that discussion; it only supplies the COP derivation Part 1 assumes.</w:t>
      </w:r>
    </w:p>
    <w:p w14:paraId="5FB24537" w14:textId="77777777" w:rsidR="003A0575" w:rsidRDefault="00000000">
      <w:pPr>
        <w:pStyle w:val="Heading2"/>
        <w:spacing w:before="300"/>
      </w:pPr>
      <w:bookmarkStart w:id="10" w:name="_Toc239465088"/>
      <w:r>
        <w:t>3.2 Worked example</w:t>
      </w:r>
      <w:bookmarkEnd w:id="10"/>
    </w:p>
    <w:p w14:paraId="55164A29" w14:textId="77777777" w:rsidR="003A0575" w:rsidRDefault="00000000">
      <w:pPr>
        <w:spacing w:after="160" w:line="276" w:lineRule="auto"/>
        <w:jc w:val="both"/>
      </w:pPr>
      <w:r>
        <w:t>A 5GDHC building substation lifts from a 15 °C ambient loop to a 45 °C emitter (a 30 K lift, both temperatures converted to kelvin: 288.15 K and 318.15 K):</w:t>
      </w:r>
    </w:p>
    <w:p w14:paraId="5327F869" w14:textId="77777777" w:rsidR="003A0575" w:rsidRDefault="00000000">
      <w:pPr>
        <w:spacing w:before="160" w:after="160"/>
        <w:jc w:val="center"/>
      </w:pPr>
      <w:r>
        <w:rPr>
          <w:noProof/>
        </w:rPr>
        <w:drawing>
          <wp:inline distT="0" distB="0" distL="0" distR="0" wp14:anchorId="5FE864FA" wp14:editId="7176B30B">
            <wp:extent cx="5905500" cy="1562100"/>
            <wp:effectExtent l="0" t="0" r="0" b="0"/>
            <wp:docPr id="1199468007" name="Picture 119946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905500" cy="1562100"/>
                    </a:xfrm>
                    <a:prstGeom prst="rect">
                      <a:avLst/>
                    </a:prstGeom>
                  </pic:spPr>
                </pic:pic>
              </a:graphicData>
            </a:graphic>
          </wp:inline>
        </w:drawing>
      </w:r>
    </w:p>
    <w:p w14:paraId="3F71B51A" w14:textId="77777777" w:rsidR="003A0575" w:rsidRDefault="00000000">
      <w:pPr>
        <w:spacing w:after="160" w:line="276" w:lineRule="auto"/>
        <w:jc w:val="both"/>
      </w:pPr>
      <w:r>
        <w:t>to deliver 100 kW of heat, the heat pump draws roughly 18.9 kW of electricity. By contrast, an air-source heat pump on a cold winter day drawing from −5 °C air to the same 45 °C emitter faces a 50 K lift:</w:t>
      </w:r>
    </w:p>
    <w:p w14:paraId="083D81F0" w14:textId="77777777" w:rsidR="003A0575" w:rsidRDefault="00000000">
      <w:pPr>
        <w:spacing w:before="160" w:after="160"/>
        <w:jc w:val="center"/>
      </w:pPr>
      <w:r>
        <w:rPr>
          <w:noProof/>
        </w:rPr>
        <w:drawing>
          <wp:inline distT="0" distB="0" distL="0" distR="0" wp14:anchorId="71BFA03C" wp14:editId="5F730592">
            <wp:extent cx="5334000" cy="476250"/>
            <wp:effectExtent l="0" t="0" r="0" b="0"/>
            <wp:docPr id="762411278" name="Picture 76241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334000" cy="476250"/>
                    </a:xfrm>
                    <a:prstGeom prst="rect">
                      <a:avLst/>
                    </a:prstGeom>
                  </pic:spPr>
                </pic:pic>
              </a:graphicData>
            </a:graphic>
          </wp:inline>
        </w:drawing>
      </w:r>
    </w:p>
    <w:p w14:paraId="3AAE7F59" w14:textId="6DA0B6D0" w:rsidR="004E2A6A" w:rsidRDefault="00000000">
      <w:pPr>
        <w:spacing w:after="160" w:line="276" w:lineRule="auto"/>
        <w:jc w:val="both"/>
      </w:pPr>
      <w:r>
        <w:t>roughly 40% more electricity for the same heat delivered. This is the quantitative content behind Part 1’s qualitative claim (§1.3, §1.5) that 5GDHC’s near-ambient source temperature is what makes COPs of 4–8 achievable.</w:t>
      </w:r>
    </w:p>
    <w:p w14:paraId="49924E43" w14:textId="77777777" w:rsidR="004E2A6A" w:rsidRDefault="004E2A6A">
      <w:r>
        <w:br w:type="page"/>
      </w:r>
    </w:p>
    <w:p w14:paraId="29B05B06" w14:textId="77777777" w:rsidR="003A0575" w:rsidRDefault="003A0575">
      <w:pPr>
        <w:spacing w:after="160" w:line="276" w:lineRule="auto"/>
        <w:jc w:val="both"/>
      </w:pPr>
    </w:p>
    <w:p w14:paraId="535844C9" w14:textId="77777777" w:rsidR="003A0575" w:rsidRDefault="00000000">
      <w:pPr>
        <w:pStyle w:val="Heading1"/>
        <w:spacing w:before="420"/>
      </w:pPr>
      <w:bookmarkStart w:id="11" w:name="_Toc239465089"/>
      <w:r>
        <w:t>4. Exergy: Quantifying “Low-Grade” Heat</w:t>
      </w:r>
      <w:bookmarkEnd w:id="11"/>
    </w:p>
    <w:p w14:paraId="7C53A97C" w14:textId="77777777" w:rsidR="003A0575" w:rsidRDefault="00000000">
      <w:pPr>
        <w:pStyle w:val="Heading2"/>
        <w:spacing w:before="300"/>
      </w:pPr>
      <w:bookmarkStart w:id="12" w:name="_Toc239465090"/>
      <w:r>
        <w:t>4.1 Derivation</w:t>
      </w:r>
      <w:bookmarkEnd w:id="12"/>
    </w:p>
    <w:p w14:paraId="3099EB6A" w14:textId="77777777" w:rsidR="003A0575" w:rsidRDefault="00000000">
      <w:pPr>
        <w:spacing w:after="160" w:line="276" w:lineRule="auto"/>
        <w:jc w:val="both"/>
      </w:pPr>
      <w:r>
        <w:t>Not all heat is equally useful. A kilowatt-hour of heat at 90 °C can, in principle, do more useful work (or be degraded through more stages of useful application) than a kilowatt-hour at 25 °C, even though both are “one kilowatt-hour” in first-law terms. Exergy is the thermodynamic measure of that difference: the maximum useful work extractable from a heat quantity Q at temperature T as it comes into equilibrium with an environment at reference temperature T₀:</w:t>
      </w:r>
    </w:p>
    <w:p w14:paraId="1BE9149B" w14:textId="77777777" w:rsidR="003A0575" w:rsidRDefault="00000000">
      <w:pPr>
        <w:spacing w:before="160" w:after="160"/>
        <w:jc w:val="center"/>
      </w:pPr>
      <w:r>
        <w:rPr>
          <w:noProof/>
        </w:rPr>
        <w:drawing>
          <wp:inline distT="0" distB="0" distL="0" distR="0" wp14:anchorId="5AA9A1E8" wp14:editId="38B52264">
            <wp:extent cx="2476500" cy="752475"/>
            <wp:effectExtent l="0" t="0" r="0" b="0"/>
            <wp:docPr id="2068822077" name="Picture 206882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476500" cy="752475"/>
                    </a:xfrm>
                    <a:prstGeom prst="rect">
                      <a:avLst/>
                    </a:prstGeom>
                  </pic:spPr>
                </pic:pic>
              </a:graphicData>
            </a:graphic>
          </wp:inline>
        </w:drawing>
      </w:r>
    </w:p>
    <w:p w14:paraId="57C842A4" w14:textId="77777777" w:rsidR="003A0575" w:rsidRDefault="00000000">
      <w:pPr>
        <w:spacing w:after="160" w:line="276" w:lineRule="auto"/>
        <w:jc w:val="both"/>
      </w:pPr>
      <w:r>
        <w:t>directly derived from the Carnot efficiency of an ideal heat engine operating between T and T₀: the term (1 − T₀/T) is exactly that Carnot efficiency, so Ex is “the work a perfect heat engine could extract from Q before discarding the rest to the environment at T₀.”</w:t>
      </w:r>
    </w:p>
    <w:p w14:paraId="38B18098" w14:textId="77777777" w:rsidR="003A0575" w:rsidRDefault="00000000">
      <w:pPr>
        <w:spacing w:after="160" w:line="276" w:lineRule="auto"/>
        <w:jc w:val="both"/>
      </w:pPr>
      <w:r>
        <w:t xml:space="preserve">The practical consequence is that low-temperature heat has low exergy — there is little useful work left to extract — and forcing it through a high-temperature process (or delivering it at a temperature far above what the end use </w:t>
      </w:r>
      <w:proofErr w:type="gramStart"/>
      <w:r>
        <w:t>actually needs</w:t>
      </w:r>
      <w:proofErr w:type="gramEnd"/>
      <w:r>
        <w:t>) destroys exergy for no benefit. Matching source temperature to demand temperature, which is precisely what 5GDHC’s near-ambient loop plus building-level WSHP boosting achieves, minimises this destruction. This is the rigorous version of the intuitive claim in Part 1 §1.5 that “low-temperature sources possess low exergy” and that matching them to low-temperature demand “minimises exergy destruction.”</w:t>
      </w:r>
    </w:p>
    <w:p w14:paraId="0C9F1A18" w14:textId="77777777" w:rsidR="003A0575" w:rsidRDefault="00000000">
      <w:pPr>
        <w:pStyle w:val="Heading2"/>
        <w:spacing w:before="300"/>
      </w:pPr>
      <w:bookmarkStart w:id="13" w:name="_Toc239465091"/>
      <w:r>
        <w:t>4.2 Worked example</w:t>
      </w:r>
      <w:bookmarkEnd w:id="13"/>
    </w:p>
    <w:p w14:paraId="4EB8BA26" w14:textId="77777777" w:rsidR="003A0575" w:rsidRDefault="00000000">
      <w:pPr>
        <w:spacing w:after="160" w:line="276" w:lineRule="auto"/>
        <w:jc w:val="both"/>
      </w:pPr>
      <w:r>
        <w:t>Take a reference environment at T₀ = 10 °C (283.15 K) and 1 kWh of heat delivered at three representative network temperatures:</w:t>
      </w:r>
    </w:p>
    <w:p w14:paraId="1FCA1CD2" w14:textId="77777777" w:rsidR="003A0575" w:rsidRDefault="00000000">
      <w:pPr>
        <w:spacing w:before="160" w:after="160"/>
        <w:jc w:val="center"/>
      </w:pPr>
      <w:r>
        <w:rPr>
          <w:noProof/>
        </w:rPr>
        <w:drawing>
          <wp:inline distT="0" distB="0" distL="0" distR="0" wp14:anchorId="17F51964" wp14:editId="30DBDA9C">
            <wp:extent cx="5905500" cy="1314450"/>
            <wp:effectExtent l="0" t="0" r="0" b="0"/>
            <wp:docPr id="962645922" name="Picture 96264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905500" cy="1314450"/>
                    </a:xfrm>
                    <a:prstGeom prst="rect">
                      <a:avLst/>
                    </a:prstGeom>
                  </pic:spPr>
                </pic:pic>
              </a:graphicData>
            </a:graphic>
          </wp:inline>
        </w:drawing>
      </w:r>
    </w:p>
    <w:p w14:paraId="27C0760A" w14:textId="405F027C" w:rsidR="004E2A6A" w:rsidRDefault="00000000">
      <w:pPr>
        <w:spacing w:after="160" w:line="276" w:lineRule="auto"/>
        <w:jc w:val="both"/>
      </w:pPr>
      <w:r>
        <w:t>only about 3.4% of the 5GDHC heat's energy content is exergy (available work); the rest is low-grade warmth well matched to space heating, versus roughly 19.8% for 3GDH and 33.1% for 1GDH. Delivering 1 kWh of space-heating demand (which needs only low-exergy warmth) via 1GDH steam therefore destroys roughly ten times more exergy than delivering the same 1 kWh via a 5GDHC ambient loop — exergy that was available to do other useful work (electricity generation, higher-temperature process heat) before being spent on a duty that never needed it.</w:t>
      </w:r>
    </w:p>
    <w:p w14:paraId="17EF2E0F" w14:textId="77777777" w:rsidR="004E2A6A" w:rsidRDefault="004E2A6A">
      <w:r>
        <w:br w:type="page"/>
      </w:r>
    </w:p>
    <w:p w14:paraId="4FE5DD13" w14:textId="77777777" w:rsidR="003A0575" w:rsidRDefault="003A0575">
      <w:pPr>
        <w:spacing w:after="160" w:line="276" w:lineRule="auto"/>
        <w:jc w:val="both"/>
      </w:pPr>
    </w:p>
    <w:p w14:paraId="1D7D17A1" w14:textId="77777777" w:rsidR="003A0575" w:rsidRDefault="00000000">
      <w:pPr>
        <w:pStyle w:val="Heading1"/>
        <w:spacing w:before="420"/>
      </w:pPr>
      <w:bookmarkStart w:id="14" w:name="_Toc239465092"/>
      <w:r>
        <w:t>5. Hydraulic Losses and the Physical Basis for Meshing</w:t>
      </w:r>
      <w:bookmarkEnd w:id="14"/>
    </w:p>
    <w:p w14:paraId="63004597" w14:textId="77777777" w:rsidR="003A0575" w:rsidRDefault="00000000">
      <w:pPr>
        <w:pStyle w:val="Heading2"/>
        <w:spacing w:before="300"/>
      </w:pPr>
      <w:bookmarkStart w:id="15" w:name="_Toc239465093"/>
      <w:r>
        <w:t>5.1 Derivation</w:t>
      </w:r>
      <w:bookmarkEnd w:id="15"/>
    </w:p>
    <w:p w14:paraId="1C7AA459" w14:textId="77777777" w:rsidR="003A0575" w:rsidRDefault="00000000">
      <w:pPr>
        <w:spacing w:after="160" w:line="276" w:lineRule="auto"/>
        <w:jc w:val="both"/>
      </w:pPr>
      <w:r>
        <w:t xml:space="preserve">Pressure </w:t>
      </w:r>
      <w:proofErr w:type="gramStart"/>
      <w:r>
        <w:t>drop</w:t>
      </w:r>
      <w:proofErr w:type="gramEnd"/>
      <w:r>
        <w:t xml:space="preserve"> along a pipe run is commonly estimated with the Darcy–Weisbach equation:</w:t>
      </w:r>
    </w:p>
    <w:p w14:paraId="27FFB2CA" w14:textId="77777777" w:rsidR="003A0575" w:rsidRDefault="00000000">
      <w:pPr>
        <w:spacing w:before="160" w:after="160"/>
        <w:jc w:val="center"/>
      </w:pPr>
      <w:r>
        <w:rPr>
          <w:noProof/>
        </w:rPr>
        <w:drawing>
          <wp:inline distT="0" distB="0" distL="0" distR="0" wp14:anchorId="7D5E5EDF" wp14:editId="286A86CD">
            <wp:extent cx="2476500" cy="1000125"/>
            <wp:effectExtent l="0" t="0" r="0" b="0"/>
            <wp:docPr id="327116739" name="Picture 32711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476500" cy="1000125"/>
                    </a:xfrm>
                    <a:prstGeom prst="rect">
                      <a:avLst/>
                    </a:prstGeom>
                  </pic:spPr>
                </pic:pic>
              </a:graphicData>
            </a:graphic>
          </wp:inline>
        </w:drawing>
      </w:r>
    </w:p>
    <w:p w14:paraId="177ABBAA" w14:textId="77777777" w:rsidR="003A0575" w:rsidRDefault="00000000">
      <w:pPr>
        <w:spacing w:after="160" w:line="276" w:lineRule="auto"/>
        <w:jc w:val="both"/>
      </w:pPr>
      <w:r>
        <w:t xml:space="preserve">where f is the (dimensionless) Darcy friction factor, L is pipe length, D is internal diameter, ρ is fluid density, and v is mean flow velocity. The friction factor f itself depends on the Reynolds number and pipe roughness (via the Colebrook–White equation for turbulent flow, or the laminar relation below); district-heating pipe flows are almost always turbulent, so f is commonly taken in the range 0.015–0.03 for typical steel or plastic pipe at the velocities and diameters </w:t>
      </w:r>
      <w:proofErr w:type="gramStart"/>
      <w:r>
        <w:t>involved, and</w:t>
      </w:r>
      <w:proofErr w:type="gramEnd"/>
      <w:r>
        <w:t xml:space="preserve"> is treated here as a fixed illustrative value rather than derived from first principles.</w:t>
      </w:r>
    </w:p>
    <w:p w14:paraId="5A7E18C9" w14:textId="77777777" w:rsidR="003A0575" w:rsidRDefault="00000000">
      <w:pPr>
        <w:spacing w:before="160" w:after="160"/>
        <w:jc w:val="center"/>
      </w:pPr>
      <w:r>
        <w:rPr>
          <w:noProof/>
        </w:rPr>
        <w:drawing>
          <wp:inline distT="0" distB="0" distL="0" distR="0" wp14:anchorId="19C22EA2" wp14:editId="4983AD41">
            <wp:extent cx="4381500" cy="800100"/>
            <wp:effectExtent l="0" t="0" r="0" b="0"/>
            <wp:docPr id="118749845" name="Picture 11874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381500" cy="800100"/>
                    </a:xfrm>
                    <a:prstGeom prst="rect">
                      <a:avLst/>
                    </a:prstGeom>
                  </pic:spPr>
                </pic:pic>
              </a:graphicData>
            </a:graphic>
          </wp:inline>
        </w:drawing>
      </w:r>
    </w:p>
    <w:p w14:paraId="3289C16B" w14:textId="77777777" w:rsidR="003A0575" w:rsidRDefault="00000000">
      <w:pPr>
        <w:spacing w:after="160" w:line="276" w:lineRule="auto"/>
        <w:jc w:val="both"/>
      </w:pPr>
      <w:r>
        <w:t xml:space="preserve">The formula's structural implication is what matters for network design: pressure drop scales with the </w:t>
      </w:r>
      <w:r>
        <w:rPr>
          <w:b/>
          <w:bCs/>
        </w:rPr>
        <w:t>square of velocity</w:t>
      </w:r>
      <w:r>
        <w:t>, and velocity itself is v = ṁ/(</w:t>
      </w:r>
      <w:proofErr w:type="spellStart"/>
      <w:r>
        <w:t>ρA</w:t>
      </w:r>
      <w:proofErr w:type="spellEnd"/>
      <w:r>
        <w:t>) for a given mass flow and pipe cross-section A. Combined with §1's result that low-ΔT operation requires higher mass flow for the same delivered power, this means pressure drop (and hence pumping energy) can rise very sharply as network ΔT falls — unless the higher mass flow is spread across more or larger parallel paths. That is the physical mechanism behind Part 1 §1.4's claim that meshed topologies “allow smaller individual pipe sections and lower velocities per branch, offsetting the higher mass-flow rates required by low-ΔT systems.”</w:t>
      </w:r>
    </w:p>
    <w:p w14:paraId="69CDFD03" w14:textId="77777777" w:rsidR="003A0575" w:rsidRDefault="00000000">
      <w:pPr>
        <w:pStyle w:val="Heading2"/>
        <w:spacing w:before="300"/>
      </w:pPr>
      <w:bookmarkStart w:id="16" w:name="_Toc239465094"/>
      <w:r>
        <w:t>5.2 Worked example: single path vs. meshed</w:t>
      </w:r>
      <w:bookmarkEnd w:id="16"/>
    </w:p>
    <w:p w14:paraId="1E703F72" w14:textId="77777777" w:rsidR="003A0575" w:rsidRDefault="00000000">
      <w:pPr>
        <w:spacing w:after="160" w:line="276" w:lineRule="auto"/>
        <w:jc w:val="both"/>
      </w:pPr>
      <w:r>
        <w:t>Continuing the 1 MW example from §1.2, assume a DN150 branch pipe (internal diameter D = 0.15 m), a 500 m run, hot-water density ρ ≈ 980 kg/m³, and an illustrative friction factor f = 0.02. At the 3GDH condition (ṁ ≈ 7.97 kg/s, ΔT = 30 K):</w:t>
      </w:r>
    </w:p>
    <w:p w14:paraId="533ECCB5" w14:textId="77777777" w:rsidR="003A0575" w:rsidRDefault="00000000">
      <w:pPr>
        <w:spacing w:before="160" w:after="160"/>
        <w:jc w:val="center"/>
      </w:pPr>
      <w:r>
        <w:rPr>
          <w:noProof/>
        </w:rPr>
        <w:drawing>
          <wp:inline distT="0" distB="0" distL="0" distR="0" wp14:anchorId="5B9A7D7D" wp14:editId="50CD0D4F">
            <wp:extent cx="3619500" cy="504825"/>
            <wp:effectExtent l="0" t="0" r="0" b="0"/>
            <wp:docPr id="308449327" name="Picture 30844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619500" cy="504825"/>
                    </a:xfrm>
                    <a:prstGeom prst="rect">
                      <a:avLst/>
                    </a:prstGeom>
                  </pic:spPr>
                </pic:pic>
              </a:graphicData>
            </a:graphic>
          </wp:inline>
        </w:drawing>
      </w:r>
    </w:p>
    <w:p w14:paraId="2B4022DB" w14:textId="77777777" w:rsidR="003A0575" w:rsidRDefault="00000000">
      <w:pPr>
        <w:spacing w:before="160" w:after="160"/>
        <w:jc w:val="center"/>
      </w:pPr>
      <w:r>
        <w:rPr>
          <w:noProof/>
        </w:rPr>
        <w:drawing>
          <wp:inline distT="0" distB="0" distL="0" distR="0" wp14:anchorId="658474ED" wp14:editId="25869126">
            <wp:extent cx="5905500" cy="552450"/>
            <wp:effectExtent l="0" t="0" r="0" b="0"/>
            <wp:docPr id="35776744" name="Picture 3577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5905500" cy="552450"/>
                    </a:xfrm>
                    <a:prstGeom prst="rect">
                      <a:avLst/>
                    </a:prstGeom>
                  </pic:spPr>
                </pic:pic>
              </a:graphicData>
            </a:graphic>
          </wp:inline>
        </w:drawing>
      </w:r>
    </w:p>
    <w:p w14:paraId="56860300" w14:textId="77777777" w:rsidR="003A0575" w:rsidRDefault="00000000">
      <w:pPr>
        <w:spacing w:after="160" w:line="276" w:lineRule="auto"/>
        <w:jc w:val="both"/>
      </w:pPr>
      <w:r>
        <w:t>a modest, easily pumped loss.</w:t>
      </w:r>
    </w:p>
    <w:p w14:paraId="6E2DEFDD" w14:textId="77777777" w:rsidR="003A0575" w:rsidRDefault="00000000">
      <w:pPr>
        <w:spacing w:before="200" w:after="80"/>
        <w:jc w:val="center"/>
      </w:pPr>
      <w:r>
        <w:rPr>
          <w:noProof/>
        </w:rPr>
        <w:lastRenderedPageBreak/>
        <w:drawing>
          <wp:inline distT="0" distB="0" distL="0" distR="0" wp14:anchorId="367B2B9B" wp14:editId="2E44BA1E">
            <wp:extent cx="5334000" cy="3257550"/>
            <wp:effectExtent l="0" t="0" r="0" b="0"/>
            <wp:docPr id="1127266397" name="Picture 112726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334000" cy="3257550"/>
                    </a:xfrm>
                    <a:prstGeom prst="rect">
                      <a:avLst/>
                    </a:prstGeom>
                  </pic:spPr>
                </pic:pic>
              </a:graphicData>
            </a:graphic>
          </wp:inline>
        </w:drawing>
      </w:r>
    </w:p>
    <w:p w14:paraId="7357DB75" w14:textId="77777777" w:rsidR="003A0575" w:rsidRDefault="00000000">
      <w:pPr>
        <w:spacing w:after="240"/>
        <w:jc w:val="center"/>
      </w:pPr>
      <w:r>
        <w:rPr>
          <w:i/>
          <w:iCs/>
          <w:sz w:val="18"/>
          <w:szCs w:val="18"/>
        </w:rPr>
        <w:t xml:space="preserve">Figure 3. Worked, assumption-explicit comparison of hydraulic pressure </w:t>
      </w:r>
      <w:proofErr w:type="gramStart"/>
      <w:r>
        <w:rPr>
          <w:i/>
          <w:iCs/>
          <w:sz w:val="18"/>
          <w:szCs w:val="18"/>
        </w:rPr>
        <w:t>drop</w:t>
      </w:r>
      <w:proofErr w:type="gramEnd"/>
      <w:r>
        <w:rPr>
          <w:i/>
          <w:iCs/>
          <w:sz w:val="18"/>
          <w:szCs w:val="18"/>
        </w:rPr>
        <w:t xml:space="preserve"> for the same 1 MW delivered through a 500 m, DN150 branch: 3GDH at ΔT=30K on a single path; 5GDHC at ΔT=5K forced through the same single path; and 5GDHC at ΔT=5K split across four meshed parallel paths. Source: author’s calculation using the Darcy–Weisbach relation in §5.1, with the stated illustrative assumptions.</w:t>
      </w:r>
    </w:p>
    <w:p w14:paraId="0C8B002F" w14:textId="77777777" w:rsidR="003A0575" w:rsidRDefault="00000000">
      <w:pPr>
        <w:spacing w:after="160" w:line="276" w:lineRule="auto"/>
        <w:jc w:val="both"/>
      </w:pPr>
      <w:r>
        <w:t>Forcing the same 1 MW through the same single DN150 pipe at the 5GDHC condition (ṁ ≈ 47.8 kg/s, ΔT = 5 K):</w:t>
      </w:r>
    </w:p>
    <w:p w14:paraId="4B92B51C" w14:textId="77777777" w:rsidR="003A0575" w:rsidRDefault="00000000">
      <w:pPr>
        <w:spacing w:before="160" w:after="160"/>
        <w:jc w:val="center"/>
      </w:pPr>
      <w:r>
        <w:rPr>
          <w:noProof/>
        </w:rPr>
        <w:drawing>
          <wp:inline distT="0" distB="0" distL="0" distR="0" wp14:anchorId="1DA4DE74" wp14:editId="58F6BB8A">
            <wp:extent cx="3619500" cy="495300"/>
            <wp:effectExtent l="0" t="0" r="0" b="0"/>
            <wp:docPr id="147559406" name="Picture 147559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619500" cy="495300"/>
                    </a:xfrm>
                    <a:prstGeom prst="rect">
                      <a:avLst/>
                    </a:prstGeom>
                  </pic:spPr>
                </pic:pic>
              </a:graphicData>
            </a:graphic>
          </wp:inline>
        </w:drawing>
      </w:r>
    </w:p>
    <w:p w14:paraId="563AC930" w14:textId="77777777" w:rsidR="003A0575" w:rsidRDefault="00000000">
      <w:pPr>
        <w:spacing w:before="160" w:after="160"/>
        <w:jc w:val="center"/>
      </w:pPr>
      <w:r>
        <w:rPr>
          <w:noProof/>
        </w:rPr>
        <w:drawing>
          <wp:inline distT="0" distB="0" distL="0" distR="0" wp14:anchorId="0C858E34" wp14:editId="7AAD1809">
            <wp:extent cx="5334000" cy="619125"/>
            <wp:effectExtent l="0" t="0" r="0" b="0"/>
            <wp:docPr id="720034905" name="Picture 720034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5334000" cy="619125"/>
                    </a:xfrm>
                    <a:prstGeom prst="rect">
                      <a:avLst/>
                    </a:prstGeom>
                  </pic:spPr>
                </pic:pic>
              </a:graphicData>
            </a:graphic>
          </wp:inline>
        </w:drawing>
      </w:r>
    </w:p>
    <w:p w14:paraId="2845245C" w14:textId="77777777" w:rsidR="003A0575" w:rsidRDefault="00000000">
      <w:pPr>
        <w:spacing w:after="160" w:line="276" w:lineRule="auto"/>
        <w:jc w:val="both"/>
      </w:pPr>
      <w:r>
        <w:t>six times the 3GDH velocity, and since pressure drop scales with v², roughly 36 times the pressure drop — an impractically large pumping penalty for a single pipe. Splitting that same mass flow across four meshed parallel paths of the same diameter quarters the mass flow per branch and therefore the velocity per branch:</w:t>
      </w:r>
    </w:p>
    <w:p w14:paraId="7F90A2CD" w14:textId="77777777" w:rsidR="003A0575" w:rsidRDefault="00000000">
      <w:pPr>
        <w:spacing w:before="160" w:after="160"/>
        <w:jc w:val="center"/>
      </w:pPr>
      <w:r>
        <w:rPr>
          <w:noProof/>
        </w:rPr>
        <w:drawing>
          <wp:inline distT="0" distB="0" distL="0" distR="0" wp14:anchorId="5D80057B" wp14:editId="135F3566">
            <wp:extent cx="5905500" cy="476250"/>
            <wp:effectExtent l="0" t="0" r="0" b="0"/>
            <wp:docPr id="1467027582" name="Picture 146702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905500" cy="476250"/>
                    </a:xfrm>
                    <a:prstGeom prst="rect">
                      <a:avLst/>
                    </a:prstGeom>
                  </pic:spPr>
                </pic:pic>
              </a:graphicData>
            </a:graphic>
          </wp:inline>
        </w:drawing>
      </w:r>
    </w:p>
    <w:p w14:paraId="6AC29A51" w14:textId="25E647BA" w:rsidR="004E2A6A" w:rsidRDefault="00000000">
      <w:pPr>
        <w:spacing w:after="160" w:line="276" w:lineRule="auto"/>
        <w:jc w:val="both"/>
      </w:pPr>
      <w:r>
        <w:t>still somewhat higher than the 3GDH case (because total mass flow is still six times greater</w:t>
      </w:r>
      <w:proofErr w:type="gramStart"/>
      <w:r>
        <w:t>), but</w:t>
      </w:r>
      <w:proofErr w:type="gramEnd"/>
      <w:r>
        <w:t xml:space="preserve"> reduced from an impractical 2.49 bar to a manageable 0.16 bar by topology alone, without changing pipe diameter, insulation, or any other physical parameter. This is the quantitative substance behind Part 1 §1.4's claim that meshing is “a structural condition,” not an optional refinement, for low-ΔT networks: the numbers above show why a 5GDHC network built as a single radial trunk would not be hydraulically viable at this scale, while the same network meshed into a small number of parallel branches is.</w:t>
      </w:r>
    </w:p>
    <w:p w14:paraId="0E5A6B89" w14:textId="77777777" w:rsidR="004E2A6A" w:rsidRDefault="004E2A6A">
      <w:r>
        <w:br w:type="page"/>
      </w:r>
    </w:p>
    <w:p w14:paraId="21ED4113" w14:textId="77777777" w:rsidR="003A0575" w:rsidRDefault="003A0575">
      <w:pPr>
        <w:spacing w:after="160" w:line="276" w:lineRule="auto"/>
        <w:jc w:val="both"/>
      </w:pPr>
    </w:p>
    <w:p w14:paraId="46A6FB67" w14:textId="77777777" w:rsidR="003A0575" w:rsidRDefault="00000000">
      <w:pPr>
        <w:pStyle w:val="Heading1"/>
        <w:spacing w:before="420"/>
      </w:pPr>
      <w:bookmarkStart w:id="17" w:name="_Toc239465095"/>
      <w:r>
        <w:t>6. Synthesis</w:t>
      </w:r>
      <w:bookmarkEnd w:id="17"/>
    </w:p>
    <w:p w14:paraId="0F07806D" w14:textId="77777777" w:rsidR="003A0575" w:rsidRDefault="00000000">
      <w:pPr>
        <w:spacing w:after="160" w:line="276" w:lineRule="auto"/>
        <w:jc w:val="both"/>
      </w:pPr>
      <w:r>
        <w:t>The five relations above are not independent design choices; they interact. Lowering network temperature (</w:t>
      </w:r>
      <w:proofErr w:type="spellStart"/>
      <w:r>
        <w:t>T_f</w:t>
      </w:r>
      <w:proofErr w:type="spellEnd"/>
      <w:r>
        <w:t xml:space="preserve">, entering the loss formula in §2 and the COP formula in §3) simultaneously reduces distribution losses, raises achievable heat-pump COP, and reduces exergy destruction — the three thermodynamic benefits Part 1 attributes qualitatively to 5GDHC. But the same move toward low ΔT that makes those gains possible (§1) forces higher mass flow for a given delivered power, which §5 shows translates into sharply higher pumping losses </w:t>
      </w:r>
      <w:r>
        <w:rPr>
          <w:b/>
          <w:bCs/>
        </w:rPr>
        <w:t>unless</w:t>
      </w:r>
      <w:r>
        <w:t xml:space="preserve"> the network topology compensates by spreading that flow across meshed parallel paths. None of the five formulas in isolation explains why 5GDHC requires meshing; only tracing a single worked numerical example (as this document does, using a consistent 1 MW / DN150 / 500 m case throughout §1, §2, §3 and §5) shows that the topological requirement in Part 1 §1.4 is a direct, quantifiable consequence of the same thermodynamic equations that make 5GDHC attractive in the first place.</w:t>
      </w:r>
    </w:p>
    <w:p w14:paraId="2DD69F8E" w14:textId="77777777" w:rsidR="003A0575" w:rsidRDefault="00000000">
      <w:pPr>
        <w:spacing w:after="160" w:line="276" w:lineRule="auto"/>
        <w:jc w:val="both"/>
      </w:pPr>
      <w:r>
        <w:t xml:space="preserve">Table 6.1 collects the </w:t>
      </w:r>
      <w:proofErr w:type="gramStart"/>
      <w:r>
        <w:t>worked-example</w:t>
      </w:r>
      <w:proofErr w:type="gramEnd"/>
      <w:r>
        <w:t xml:space="preserve"> results from this document in one place for reference.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750"/>
        <w:gridCol w:w="1750"/>
        <w:gridCol w:w="1750"/>
        <w:gridCol w:w="900"/>
      </w:tblGrid>
      <w:tr w:rsidR="003A0575" w14:paraId="0C560971" w14:textId="77777777">
        <w:tblPrEx>
          <w:tblCellMar>
            <w:top w:w="0" w:type="dxa"/>
            <w:bottom w:w="0" w:type="dxa"/>
          </w:tblCellMar>
        </w:tblPrEx>
        <w:trPr>
          <w:tblHeader/>
        </w:trPr>
        <w:tc>
          <w:tcPr>
            <w:tcW w:w="3200" w:type="dxa"/>
            <w:shd w:val="clear" w:color="auto" w:fill="1F4E5F"/>
            <w:tcMar>
              <w:top w:w="60" w:type="dxa"/>
              <w:left w:w="100" w:type="dxa"/>
              <w:bottom w:w="60" w:type="dxa"/>
              <w:right w:w="100" w:type="dxa"/>
            </w:tcMar>
            <w:vAlign w:val="center"/>
          </w:tcPr>
          <w:p w14:paraId="1DB3C8C7" w14:textId="77777777" w:rsidR="003A0575" w:rsidRDefault="00000000">
            <w:r>
              <w:rPr>
                <w:b/>
                <w:bCs/>
                <w:color w:val="FFFFFF"/>
                <w:sz w:val="18"/>
                <w:szCs w:val="18"/>
              </w:rPr>
              <w:t>Quantity</w:t>
            </w:r>
          </w:p>
        </w:tc>
        <w:tc>
          <w:tcPr>
            <w:tcW w:w="1750" w:type="dxa"/>
            <w:shd w:val="clear" w:color="auto" w:fill="1F4E5F"/>
            <w:tcMar>
              <w:top w:w="60" w:type="dxa"/>
              <w:left w:w="100" w:type="dxa"/>
              <w:bottom w:w="60" w:type="dxa"/>
              <w:right w:w="100" w:type="dxa"/>
            </w:tcMar>
            <w:vAlign w:val="center"/>
          </w:tcPr>
          <w:p w14:paraId="152A4AFE" w14:textId="77777777" w:rsidR="003A0575" w:rsidRDefault="00000000">
            <w:r>
              <w:rPr>
                <w:b/>
                <w:bCs/>
                <w:color w:val="FFFFFF"/>
                <w:sz w:val="18"/>
                <w:szCs w:val="18"/>
              </w:rPr>
              <w:t>1GDH (≈150 °C)</w:t>
            </w:r>
          </w:p>
        </w:tc>
        <w:tc>
          <w:tcPr>
            <w:tcW w:w="1750" w:type="dxa"/>
            <w:shd w:val="clear" w:color="auto" w:fill="1F4E5F"/>
            <w:tcMar>
              <w:top w:w="60" w:type="dxa"/>
              <w:left w:w="100" w:type="dxa"/>
              <w:bottom w:w="60" w:type="dxa"/>
              <w:right w:w="100" w:type="dxa"/>
            </w:tcMar>
            <w:vAlign w:val="center"/>
          </w:tcPr>
          <w:p w14:paraId="128BBDCE" w14:textId="77777777" w:rsidR="003A0575" w:rsidRDefault="00000000">
            <w:r>
              <w:rPr>
                <w:b/>
                <w:bCs/>
                <w:color w:val="FFFFFF"/>
                <w:sz w:val="18"/>
                <w:szCs w:val="18"/>
              </w:rPr>
              <w:t>3GDH (≈80 °C)</w:t>
            </w:r>
          </w:p>
        </w:tc>
        <w:tc>
          <w:tcPr>
            <w:tcW w:w="1750" w:type="dxa"/>
            <w:shd w:val="clear" w:color="auto" w:fill="1F4E5F"/>
            <w:tcMar>
              <w:top w:w="60" w:type="dxa"/>
              <w:left w:w="100" w:type="dxa"/>
              <w:bottom w:w="60" w:type="dxa"/>
              <w:right w:w="100" w:type="dxa"/>
            </w:tcMar>
            <w:vAlign w:val="center"/>
          </w:tcPr>
          <w:p w14:paraId="15FD3EE9" w14:textId="77777777" w:rsidR="003A0575" w:rsidRDefault="00000000">
            <w:r>
              <w:rPr>
                <w:b/>
                <w:bCs/>
                <w:color w:val="FFFFFF"/>
                <w:sz w:val="18"/>
                <w:szCs w:val="18"/>
              </w:rPr>
              <w:t>5GDHC (≈20 °C)</w:t>
            </w:r>
          </w:p>
        </w:tc>
        <w:tc>
          <w:tcPr>
            <w:tcW w:w="900" w:type="dxa"/>
            <w:shd w:val="clear" w:color="auto" w:fill="1F4E5F"/>
            <w:tcMar>
              <w:top w:w="60" w:type="dxa"/>
              <w:left w:w="100" w:type="dxa"/>
              <w:bottom w:w="60" w:type="dxa"/>
              <w:right w:w="100" w:type="dxa"/>
            </w:tcMar>
            <w:vAlign w:val="center"/>
          </w:tcPr>
          <w:p w14:paraId="2F633787" w14:textId="77777777" w:rsidR="003A0575" w:rsidRDefault="00000000">
            <w:r>
              <w:rPr>
                <w:b/>
                <w:bCs/>
                <w:color w:val="FFFFFF"/>
                <w:sz w:val="18"/>
                <w:szCs w:val="18"/>
              </w:rPr>
              <w:t>Source</w:t>
            </w:r>
          </w:p>
        </w:tc>
      </w:tr>
      <w:tr w:rsidR="003A0575" w14:paraId="4C93A808" w14:textId="77777777">
        <w:tblPrEx>
          <w:tblCellMar>
            <w:top w:w="0" w:type="dxa"/>
            <w:bottom w:w="0" w:type="dxa"/>
          </w:tblCellMar>
        </w:tblPrEx>
        <w:tc>
          <w:tcPr>
            <w:tcW w:w="3200" w:type="dxa"/>
            <w:shd w:val="clear" w:color="auto" w:fill="F2F6F8"/>
            <w:tcMar>
              <w:top w:w="50" w:type="dxa"/>
              <w:left w:w="100" w:type="dxa"/>
              <w:bottom w:w="50" w:type="dxa"/>
              <w:right w:w="100" w:type="dxa"/>
            </w:tcMar>
            <w:vAlign w:val="center"/>
          </w:tcPr>
          <w:p w14:paraId="5BB4EDE5" w14:textId="77777777" w:rsidR="003A0575" w:rsidRDefault="00000000">
            <w:r>
              <w:rPr>
                <w:sz w:val="18"/>
                <w:szCs w:val="18"/>
              </w:rPr>
              <w:t>Distribution heat loss (illustrative, W/m)</w:t>
            </w:r>
          </w:p>
        </w:tc>
        <w:tc>
          <w:tcPr>
            <w:tcW w:w="1750" w:type="dxa"/>
            <w:shd w:val="clear" w:color="auto" w:fill="F2F6F8"/>
            <w:tcMar>
              <w:top w:w="50" w:type="dxa"/>
              <w:left w:w="100" w:type="dxa"/>
              <w:bottom w:w="50" w:type="dxa"/>
              <w:right w:w="100" w:type="dxa"/>
            </w:tcMar>
            <w:vAlign w:val="center"/>
          </w:tcPr>
          <w:p w14:paraId="47174CB9" w14:textId="77777777" w:rsidR="003A0575" w:rsidRDefault="00000000">
            <w:r>
              <w:rPr>
                <w:sz w:val="18"/>
                <w:szCs w:val="18"/>
              </w:rPr>
              <w:t>34.1</w:t>
            </w:r>
          </w:p>
        </w:tc>
        <w:tc>
          <w:tcPr>
            <w:tcW w:w="1750" w:type="dxa"/>
            <w:shd w:val="clear" w:color="auto" w:fill="F2F6F8"/>
            <w:tcMar>
              <w:top w:w="50" w:type="dxa"/>
              <w:left w:w="100" w:type="dxa"/>
              <w:bottom w:w="50" w:type="dxa"/>
              <w:right w:w="100" w:type="dxa"/>
            </w:tcMar>
            <w:vAlign w:val="center"/>
          </w:tcPr>
          <w:p w14:paraId="63E72993" w14:textId="77777777" w:rsidR="003A0575" w:rsidRDefault="00000000">
            <w:r>
              <w:rPr>
                <w:sz w:val="18"/>
                <w:szCs w:val="18"/>
              </w:rPr>
              <w:t>17.1</w:t>
            </w:r>
          </w:p>
        </w:tc>
        <w:tc>
          <w:tcPr>
            <w:tcW w:w="1750" w:type="dxa"/>
            <w:shd w:val="clear" w:color="auto" w:fill="F2F6F8"/>
            <w:tcMar>
              <w:top w:w="50" w:type="dxa"/>
              <w:left w:w="100" w:type="dxa"/>
              <w:bottom w:w="50" w:type="dxa"/>
              <w:right w:w="100" w:type="dxa"/>
            </w:tcMar>
            <w:vAlign w:val="center"/>
          </w:tcPr>
          <w:p w14:paraId="3632DA79" w14:textId="77777777" w:rsidR="003A0575" w:rsidRDefault="00000000">
            <w:r>
              <w:rPr>
                <w:sz w:val="18"/>
                <w:szCs w:val="18"/>
              </w:rPr>
              <w:t>2.4</w:t>
            </w:r>
          </w:p>
        </w:tc>
        <w:tc>
          <w:tcPr>
            <w:tcW w:w="900" w:type="dxa"/>
            <w:shd w:val="clear" w:color="auto" w:fill="F2F6F8"/>
            <w:tcMar>
              <w:top w:w="50" w:type="dxa"/>
              <w:left w:w="100" w:type="dxa"/>
              <w:bottom w:w="50" w:type="dxa"/>
              <w:right w:w="100" w:type="dxa"/>
            </w:tcMar>
            <w:vAlign w:val="center"/>
          </w:tcPr>
          <w:p w14:paraId="57F42747" w14:textId="77777777" w:rsidR="003A0575" w:rsidRDefault="00000000">
            <w:r>
              <w:rPr>
                <w:sz w:val="18"/>
                <w:szCs w:val="18"/>
              </w:rPr>
              <w:t>§2.2</w:t>
            </w:r>
          </w:p>
        </w:tc>
      </w:tr>
      <w:tr w:rsidR="003A0575" w14:paraId="7E389733" w14:textId="77777777">
        <w:tblPrEx>
          <w:tblCellMar>
            <w:top w:w="0" w:type="dxa"/>
            <w:bottom w:w="0" w:type="dxa"/>
          </w:tblCellMar>
        </w:tblPrEx>
        <w:tc>
          <w:tcPr>
            <w:tcW w:w="3200" w:type="dxa"/>
            <w:shd w:val="clear" w:color="auto" w:fill="FFFFFF"/>
            <w:tcMar>
              <w:top w:w="50" w:type="dxa"/>
              <w:left w:w="100" w:type="dxa"/>
              <w:bottom w:w="50" w:type="dxa"/>
              <w:right w:w="100" w:type="dxa"/>
            </w:tcMar>
            <w:vAlign w:val="center"/>
          </w:tcPr>
          <w:p w14:paraId="57A2218F" w14:textId="77777777" w:rsidR="003A0575" w:rsidRDefault="00000000">
            <w:r>
              <w:rPr>
                <w:sz w:val="18"/>
                <w:szCs w:val="18"/>
              </w:rPr>
              <w:t>Mass flow for 1 MW at stated ΔT (kg/s)</w:t>
            </w:r>
          </w:p>
        </w:tc>
        <w:tc>
          <w:tcPr>
            <w:tcW w:w="1750" w:type="dxa"/>
            <w:shd w:val="clear" w:color="auto" w:fill="FFFFFF"/>
            <w:tcMar>
              <w:top w:w="50" w:type="dxa"/>
              <w:left w:w="100" w:type="dxa"/>
              <w:bottom w:w="50" w:type="dxa"/>
              <w:right w:w="100" w:type="dxa"/>
            </w:tcMar>
            <w:vAlign w:val="center"/>
          </w:tcPr>
          <w:p w14:paraId="01EE3EF3" w14:textId="77777777" w:rsidR="003A0575" w:rsidRDefault="00000000">
            <w:r>
              <w:rPr>
                <w:sz w:val="18"/>
                <w:szCs w:val="18"/>
              </w:rPr>
              <w:t>n/a (steam)</w:t>
            </w:r>
          </w:p>
        </w:tc>
        <w:tc>
          <w:tcPr>
            <w:tcW w:w="1750" w:type="dxa"/>
            <w:shd w:val="clear" w:color="auto" w:fill="FFFFFF"/>
            <w:tcMar>
              <w:top w:w="50" w:type="dxa"/>
              <w:left w:w="100" w:type="dxa"/>
              <w:bottom w:w="50" w:type="dxa"/>
              <w:right w:w="100" w:type="dxa"/>
            </w:tcMar>
            <w:vAlign w:val="center"/>
          </w:tcPr>
          <w:p w14:paraId="2BF19525" w14:textId="77777777" w:rsidR="003A0575" w:rsidRDefault="00000000">
            <w:r>
              <w:rPr>
                <w:sz w:val="18"/>
                <w:szCs w:val="18"/>
              </w:rPr>
              <w:t>7.97 (ΔT=30K)</w:t>
            </w:r>
          </w:p>
        </w:tc>
        <w:tc>
          <w:tcPr>
            <w:tcW w:w="1750" w:type="dxa"/>
            <w:shd w:val="clear" w:color="auto" w:fill="FFFFFF"/>
            <w:tcMar>
              <w:top w:w="50" w:type="dxa"/>
              <w:left w:w="100" w:type="dxa"/>
              <w:bottom w:w="50" w:type="dxa"/>
              <w:right w:w="100" w:type="dxa"/>
            </w:tcMar>
            <w:vAlign w:val="center"/>
          </w:tcPr>
          <w:p w14:paraId="6DF36E01" w14:textId="77777777" w:rsidR="003A0575" w:rsidRDefault="00000000">
            <w:r>
              <w:rPr>
                <w:sz w:val="18"/>
                <w:szCs w:val="18"/>
              </w:rPr>
              <w:t>47.8 (ΔT=5K)</w:t>
            </w:r>
          </w:p>
        </w:tc>
        <w:tc>
          <w:tcPr>
            <w:tcW w:w="900" w:type="dxa"/>
            <w:shd w:val="clear" w:color="auto" w:fill="FFFFFF"/>
            <w:tcMar>
              <w:top w:w="50" w:type="dxa"/>
              <w:left w:w="100" w:type="dxa"/>
              <w:bottom w:w="50" w:type="dxa"/>
              <w:right w:w="100" w:type="dxa"/>
            </w:tcMar>
            <w:vAlign w:val="center"/>
          </w:tcPr>
          <w:p w14:paraId="2ED00ABC" w14:textId="77777777" w:rsidR="003A0575" w:rsidRDefault="00000000">
            <w:r>
              <w:rPr>
                <w:sz w:val="18"/>
                <w:szCs w:val="18"/>
              </w:rPr>
              <w:t>§1.2</w:t>
            </w:r>
          </w:p>
        </w:tc>
      </w:tr>
      <w:tr w:rsidR="003A0575" w14:paraId="1DD540C2" w14:textId="77777777">
        <w:tblPrEx>
          <w:tblCellMar>
            <w:top w:w="0" w:type="dxa"/>
            <w:bottom w:w="0" w:type="dxa"/>
          </w:tblCellMar>
        </w:tblPrEx>
        <w:tc>
          <w:tcPr>
            <w:tcW w:w="3200" w:type="dxa"/>
            <w:shd w:val="clear" w:color="auto" w:fill="F2F6F8"/>
            <w:tcMar>
              <w:top w:w="50" w:type="dxa"/>
              <w:left w:w="100" w:type="dxa"/>
              <w:bottom w:w="50" w:type="dxa"/>
              <w:right w:w="100" w:type="dxa"/>
            </w:tcMar>
            <w:vAlign w:val="center"/>
          </w:tcPr>
          <w:p w14:paraId="5C0D759D" w14:textId="77777777" w:rsidR="003A0575" w:rsidRDefault="00000000">
            <w:r>
              <w:rPr>
                <w:sz w:val="18"/>
                <w:szCs w:val="18"/>
              </w:rPr>
              <w:t xml:space="preserve">Pressure </w:t>
            </w:r>
            <w:proofErr w:type="gramStart"/>
            <w:r>
              <w:rPr>
                <w:sz w:val="18"/>
                <w:szCs w:val="18"/>
              </w:rPr>
              <w:t>drop</w:t>
            </w:r>
            <w:proofErr w:type="gramEnd"/>
            <w:r>
              <w:rPr>
                <w:sz w:val="18"/>
                <w:szCs w:val="18"/>
              </w:rPr>
              <w:t>, single DN150 path, 500 m (bar)</w:t>
            </w:r>
          </w:p>
        </w:tc>
        <w:tc>
          <w:tcPr>
            <w:tcW w:w="1750" w:type="dxa"/>
            <w:shd w:val="clear" w:color="auto" w:fill="F2F6F8"/>
            <w:tcMar>
              <w:top w:w="50" w:type="dxa"/>
              <w:left w:w="100" w:type="dxa"/>
              <w:bottom w:w="50" w:type="dxa"/>
              <w:right w:w="100" w:type="dxa"/>
            </w:tcMar>
            <w:vAlign w:val="center"/>
          </w:tcPr>
          <w:p w14:paraId="0B65EC11" w14:textId="77777777" w:rsidR="003A0575" w:rsidRDefault="00000000">
            <w:r>
              <w:rPr>
                <w:sz w:val="18"/>
                <w:szCs w:val="18"/>
              </w:rPr>
              <w:t>n/a (steam)</w:t>
            </w:r>
          </w:p>
        </w:tc>
        <w:tc>
          <w:tcPr>
            <w:tcW w:w="1750" w:type="dxa"/>
            <w:shd w:val="clear" w:color="auto" w:fill="F2F6F8"/>
            <w:tcMar>
              <w:top w:w="50" w:type="dxa"/>
              <w:left w:w="100" w:type="dxa"/>
              <w:bottom w:w="50" w:type="dxa"/>
              <w:right w:w="100" w:type="dxa"/>
            </w:tcMar>
            <w:vAlign w:val="center"/>
          </w:tcPr>
          <w:p w14:paraId="601E0E75" w14:textId="77777777" w:rsidR="003A0575" w:rsidRDefault="00000000">
            <w:r>
              <w:rPr>
                <w:sz w:val="18"/>
                <w:szCs w:val="18"/>
              </w:rPr>
              <w:t>0.07</w:t>
            </w:r>
          </w:p>
        </w:tc>
        <w:tc>
          <w:tcPr>
            <w:tcW w:w="1750" w:type="dxa"/>
            <w:shd w:val="clear" w:color="auto" w:fill="F2F6F8"/>
            <w:tcMar>
              <w:top w:w="50" w:type="dxa"/>
              <w:left w:w="100" w:type="dxa"/>
              <w:bottom w:w="50" w:type="dxa"/>
              <w:right w:w="100" w:type="dxa"/>
            </w:tcMar>
            <w:vAlign w:val="center"/>
          </w:tcPr>
          <w:p w14:paraId="7C1D86E0" w14:textId="77777777" w:rsidR="003A0575" w:rsidRDefault="00000000">
            <w:r>
              <w:rPr>
                <w:sz w:val="18"/>
                <w:szCs w:val="18"/>
              </w:rPr>
              <w:t>2.49</w:t>
            </w:r>
          </w:p>
        </w:tc>
        <w:tc>
          <w:tcPr>
            <w:tcW w:w="900" w:type="dxa"/>
            <w:shd w:val="clear" w:color="auto" w:fill="F2F6F8"/>
            <w:tcMar>
              <w:top w:w="50" w:type="dxa"/>
              <w:left w:w="100" w:type="dxa"/>
              <w:bottom w:w="50" w:type="dxa"/>
              <w:right w:w="100" w:type="dxa"/>
            </w:tcMar>
            <w:vAlign w:val="center"/>
          </w:tcPr>
          <w:p w14:paraId="13CC408E" w14:textId="77777777" w:rsidR="003A0575" w:rsidRDefault="00000000">
            <w:r>
              <w:rPr>
                <w:sz w:val="18"/>
                <w:szCs w:val="18"/>
              </w:rPr>
              <w:t>§5.2</w:t>
            </w:r>
          </w:p>
        </w:tc>
      </w:tr>
      <w:tr w:rsidR="003A0575" w14:paraId="4F1BD88C" w14:textId="77777777">
        <w:tblPrEx>
          <w:tblCellMar>
            <w:top w:w="0" w:type="dxa"/>
            <w:bottom w:w="0" w:type="dxa"/>
          </w:tblCellMar>
        </w:tblPrEx>
        <w:tc>
          <w:tcPr>
            <w:tcW w:w="3200" w:type="dxa"/>
            <w:shd w:val="clear" w:color="auto" w:fill="FFFFFF"/>
            <w:tcMar>
              <w:top w:w="50" w:type="dxa"/>
              <w:left w:w="100" w:type="dxa"/>
              <w:bottom w:w="50" w:type="dxa"/>
              <w:right w:w="100" w:type="dxa"/>
            </w:tcMar>
            <w:vAlign w:val="center"/>
          </w:tcPr>
          <w:p w14:paraId="19221CA9" w14:textId="77777777" w:rsidR="003A0575" w:rsidRDefault="00000000">
            <w:r>
              <w:rPr>
                <w:sz w:val="18"/>
                <w:szCs w:val="18"/>
              </w:rPr>
              <w:t xml:space="preserve">Pressure </w:t>
            </w:r>
            <w:proofErr w:type="gramStart"/>
            <w:r>
              <w:rPr>
                <w:sz w:val="18"/>
                <w:szCs w:val="18"/>
              </w:rPr>
              <w:t>drop</w:t>
            </w:r>
            <w:proofErr w:type="gramEnd"/>
            <w:r>
              <w:rPr>
                <w:sz w:val="18"/>
                <w:szCs w:val="18"/>
              </w:rPr>
              <w:t>, 5GDHC meshed ×4 paths (bar)</w:t>
            </w:r>
          </w:p>
        </w:tc>
        <w:tc>
          <w:tcPr>
            <w:tcW w:w="1750" w:type="dxa"/>
            <w:shd w:val="clear" w:color="auto" w:fill="FFFFFF"/>
            <w:tcMar>
              <w:top w:w="50" w:type="dxa"/>
              <w:left w:w="100" w:type="dxa"/>
              <w:bottom w:w="50" w:type="dxa"/>
              <w:right w:w="100" w:type="dxa"/>
            </w:tcMar>
            <w:vAlign w:val="center"/>
          </w:tcPr>
          <w:p w14:paraId="4CB22C20" w14:textId="77777777" w:rsidR="003A0575" w:rsidRDefault="00000000">
            <w:r>
              <w:rPr>
                <w:sz w:val="18"/>
                <w:szCs w:val="18"/>
              </w:rPr>
              <w:t>—</w:t>
            </w:r>
          </w:p>
        </w:tc>
        <w:tc>
          <w:tcPr>
            <w:tcW w:w="1750" w:type="dxa"/>
            <w:shd w:val="clear" w:color="auto" w:fill="FFFFFF"/>
            <w:tcMar>
              <w:top w:w="50" w:type="dxa"/>
              <w:left w:w="100" w:type="dxa"/>
              <w:bottom w:w="50" w:type="dxa"/>
              <w:right w:w="100" w:type="dxa"/>
            </w:tcMar>
            <w:vAlign w:val="center"/>
          </w:tcPr>
          <w:p w14:paraId="6A53B252" w14:textId="77777777" w:rsidR="003A0575" w:rsidRDefault="00000000">
            <w:r>
              <w:rPr>
                <w:sz w:val="18"/>
                <w:szCs w:val="18"/>
              </w:rPr>
              <w:t>—</w:t>
            </w:r>
          </w:p>
        </w:tc>
        <w:tc>
          <w:tcPr>
            <w:tcW w:w="1750" w:type="dxa"/>
            <w:shd w:val="clear" w:color="auto" w:fill="FFFFFF"/>
            <w:tcMar>
              <w:top w:w="50" w:type="dxa"/>
              <w:left w:w="100" w:type="dxa"/>
              <w:bottom w:w="50" w:type="dxa"/>
              <w:right w:w="100" w:type="dxa"/>
            </w:tcMar>
            <w:vAlign w:val="center"/>
          </w:tcPr>
          <w:p w14:paraId="27ECE6CE" w14:textId="77777777" w:rsidR="003A0575" w:rsidRDefault="00000000">
            <w:r>
              <w:rPr>
                <w:sz w:val="18"/>
                <w:szCs w:val="18"/>
              </w:rPr>
              <w:t>0.16</w:t>
            </w:r>
          </w:p>
        </w:tc>
        <w:tc>
          <w:tcPr>
            <w:tcW w:w="900" w:type="dxa"/>
            <w:shd w:val="clear" w:color="auto" w:fill="FFFFFF"/>
            <w:tcMar>
              <w:top w:w="50" w:type="dxa"/>
              <w:left w:w="100" w:type="dxa"/>
              <w:bottom w:w="50" w:type="dxa"/>
              <w:right w:w="100" w:type="dxa"/>
            </w:tcMar>
            <w:vAlign w:val="center"/>
          </w:tcPr>
          <w:p w14:paraId="465F3FB5" w14:textId="77777777" w:rsidR="003A0575" w:rsidRDefault="00000000">
            <w:r>
              <w:rPr>
                <w:sz w:val="18"/>
                <w:szCs w:val="18"/>
              </w:rPr>
              <w:t>§5.2</w:t>
            </w:r>
          </w:p>
        </w:tc>
      </w:tr>
      <w:tr w:rsidR="003A0575" w14:paraId="50AADAF3" w14:textId="77777777">
        <w:tblPrEx>
          <w:tblCellMar>
            <w:top w:w="0" w:type="dxa"/>
            <w:bottom w:w="0" w:type="dxa"/>
          </w:tblCellMar>
        </w:tblPrEx>
        <w:tc>
          <w:tcPr>
            <w:tcW w:w="3200" w:type="dxa"/>
            <w:shd w:val="clear" w:color="auto" w:fill="F2F6F8"/>
            <w:tcMar>
              <w:top w:w="50" w:type="dxa"/>
              <w:left w:w="100" w:type="dxa"/>
              <w:bottom w:w="50" w:type="dxa"/>
              <w:right w:w="100" w:type="dxa"/>
            </w:tcMar>
            <w:vAlign w:val="center"/>
          </w:tcPr>
          <w:p w14:paraId="7A4F4BDF" w14:textId="77777777" w:rsidR="003A0575" w:rsidRDefault="00000000">
            <w:r>
              <w:rPr>
                <w:sz w:val="18"/>
                <w:szCs w:val="18"/>
              </w:rPr>
              <w:t>Exergy content of 1 kWh delivered (kWh, T₀=10°C)</w:t>
            </w:r>
          </w:p>
        </w:tc>
        <w:tc>
          <w:tcPr>
            <w:tcW w:w="1750" w:type="dxa"/>
            <w:shd w:val="clear" w:color="auto" w:fill="F2F6F8"/>
            <w:tcMar>
              <w:top w:w="50" w:type="dxa"/>
              <w:left w:w="100" w:type="dxa"/>
              <w:bottom w:w="50" w:type="dxa"/>
              <w:right w:w="100" w:type="dxa"/>
            </w:tcMar>
            <w:vAlign w:val="center"/>
          </w:tcPr>
          <w:p w14:paraId="4F1EA21F" w14:textId="77777777" w:rsidR="003A0575" w:rsidRDefault="00000000">
            <w:r>
              <w:rPr>
                <w:sz w:val="18"/>
                <w:szCs w:val="18"/>
              </w:rPr>
              <w:t>0.331</w:t>
            </w:r>
          </w:p>
        </w:tc>
        <w:tc>
          <w:tcPr>
            <w:tcW w:w="1750" w:type="dxa"/>
            <w:shd w:val="clear" w:color="auto" w:fill="F2F6F8"/>
            <w:tcMar>
              <w:top w:w="50" w:type="dxa"/>
              <w:left w:w="100" w:type="dxa"/>
              <w:bottom w:w="50" w:type="dxa"/>
              <w:right w:w="100" w:type="dxa"/>
            </w:tcMar>
            <w:vAlign w:val="center"/>
          </w:tcPr>
          <w:p w14:paraId="653E5FB1" w14:textId="77777777" w:rsidR="003A0575" w:rsidRDefault="00000000">
            <w:r>
              <w:rPr>
                <w:sz w:val="18"/>
                <w:szCs w:val="18"/>
              </w:rPr>
              <w:t>0.198</w:t>
            </w:r>
          </w:p>
        </w:tc>
        <w:tc>
          <w:tcPr>
            <w:tcW w:w="1750" w:type="dxa"/>
            <w:shd w:val="clear" w:color="auto" w:fill="F2F6F8"/>
            <w:tcMar>
              <w:top w:w="50" w:type="dxa"/>
              <w:left w:w="100" w:type="dxa"/>
              <w:bottom w:w="50" w:type="dxa"/>
              <w:right w:w="100" w:type="dxa"/>
            </w:tcMar>
            <w:vAlign w:val="center"/>
          </w:tcPr>
          <w:p w14:paraId="24EA00BD" w14:textId="77777777" w:rsidR="003A0575" w:rsidRDefault="00000000">
            <w:r>
              <w:rPr>
                <w:sz w:val="18"/>
                <w:szCs w:val="18"/>
              </w:rPr>
              <w:t>0.034</w:t>
            </w:r>
          </w:p>
        </w:tc>
        <w:tc>
          <w:tcPr>
            <w:tcW w:w="900" w:type="dxa"/>
            <w:shd w:val="clear" w:color="auto" w:fill="F2F6F8"/>
            <w:tcMar>
              <w:top w:w="50" w:type="dxa"/>
              <w:left w:w="100" w:type="dxa"/>
              <w:bottom w:w="50" w:type="dxa"/>
              <w:right w:w="100" w:type="dxa"/>
            </w:tcMar>
            <w:vAlign w:val="center"/>
          </w:tcPr>
          <w:p w14:paraId="402B1AAB" w14:textId="77777777" w:rsidR="003A0575" w:rsidRDefault="00000000">
            <w:r>
              <w:rPr>
                <w:sz w:val="18"/>
                <w:szCs w:val="18"/>
              </w:rPr>
              <w:t>§4.2</w:t>
            </w:r>
          </w:p>
        </w:tc>
      </w:tr>
    </w:tbl>
    <w:p w14:paraId="459E8B65" w14:textId="77777777" w:rsidR="003A0575" w:rsidRDefault="003A0575">
      <w:pPr>
        <w:spacing w:after="160" w:line="276" w:lineRule="auto"/>
        <w:jc w:val="both"/>
      </w:pPr>
    </w:p>
    <w:p w14:paraId="6E5689D7" w14:textId="77777777" w:rsidR="003A0575" w:rsidRDefault="00000000">
      <w:pPr>
        <w:spacing w:after="160" w:line="276" w:lineRule="auto"/>
        <w:jc w:val="both"/>
      </w:pPr>
      <w:r>
        <w:t>All figures in this table are illustrative parametric results under the stated assumptions (§2.2, §3.2, §4.2, §5.2), reproducible from the formulas in §1–§5 with project-specific inputs substituted in. They are not measured field data and should not be cited as such; they exist to make the qualitative claims already made in Part 1 checkable.</w:t>
      </w:r>
    </w:p>
    <w:p w14:paraId="08F2E961" w14:textId="77777777" w:rsidR="003A0575" w:rsidRDefault="00000000">
      <w:pPr>
        <w:pStyle w:val="Heading1"/>
        <w:spacing w:before="420"/>
      </w:pPr>
      <w:bookmarkStart w:id="18" w:name="_Toc239465096"/>
      <w:r>
        <w:t>Conclusion</w:t>
      </w:r>
      <w:bookmarkEnd w:id="18"/>
    </w:p>
    <w:p w14:paraId="69EFF3D8" w14:textId="0137C337" w:rsidR="00A12715" w:rsidRDefault="00000000">
      <w:pPr>
        <w:spacing w:after="160" w:line="276" w:lineRule="auto"/>
        <w:jc w:val="both"/>
      </w:pPr>
      <w:r>
        <w:t>This document adds nothing to the historical, classificatory, or advocacy content of the Union Centrale programme — that material is already complete in Part 1 and is deliberately not repeated here. What it adds is traceability: every thermodynamic and hydraulic claim in Part 1 §1.5 and §1.4 now has, in this companion, a derivation from first principles and at least one worked numerical example a reader can reproduce or adapt with their own project data. Read together, Part 1 makes the technical and policy case for 4GDH/5GDHC and UTES; this document supplies the arithmetic underneath it.</w:t>
      </w:r>
    </w:p>
    <w:p w14:paraId="5348D4F8" w14:textId="77777777" w:rsidR="00A12715" w:rsidRDefault="00A12715">
      <w:r>
        <w:br w:type="page"/>
      </w:r>
    </w:p>
    <w:p w14:paraId="253F1C92" w14:textId="77777777" w:rsidR="003A0575" w:rsidRDefault="003A0575">
      <w:pPr>
        <w:spacing w:after="160" w:line="276" w:lineRule="auto"/>
        <w:jc w:val="both"/>
      </w:pPr>
    </w:p>
    <w:p w14:paraId="356A9BDB" w14:textId="77777777" w:rsidR="003A0575" w:rsidRDefault="00000000">
      <w:pPr>
        <w:pStyle w:val="Heading1"/>
        <w:spacing w:before="420"/>
      </w:pPr>
      <w:bookmarkStart w:id="19" w:name="_Toc239465097"/>
      <w:r>
        <w:t>Annex A — References</w:t>
      </w:r>
      <w:bookmarkEnd w:id="19"/>
    </w:p>
    <w:p w14:paraId="55E9FA19" w14:textId="77777777" w:rsidR="003A0575" w:rsidRDefault="00000000">
      <w:pPr>
        <w:spacing w:after="160" w:line="276" w:lineRule="auto"/>
        <w:jc w:val="both"/>
      </w:pPr>
      <w:r>
        <w:t>This annex is deliberately short: it covers only the thermodynamics and hydraulics literature underlying §1–§5. For district-heating history, generation classification, UTES, PVT, refrigerants, and policy references, see Part 1, Annex A (Document ID UC-DHC-UTES-EN-2026, Rev. 3-C).</w:t>
      </w:r>
    </w:p>
    <w:p w14:paraId="0C2C6D3F" w14:textId="77777777" w:rsidR="003A0575" w:rsidRDefault="00000000">
      <w:pPr>
        <w:pStyle w:val="ListParagraph"/>
        <w:numPr>
          <w:ilvl w:val="0"/>
          <w:numId w:val="2"/>
        </w:numPr>
        <w:spacing w:after="100" w:line="276" w:lineRule="auto"/>
      </w:pPr>
      <w:r>
        <w:t>Lund, H., Werner, S., Wiltshire, R., Svendsen, S., Thorsen, J.E., Hvelplund, F. &amp; Mathiesen, B.V. (2014). ‘4th Generation District Heating (4GDH): Integrating smart thermal grids into future sustainable energy systems.’ Energy, 68, 1–11. https://doi.org/10.1016/j.energy.2014.02.089 (source of the heat-transport and distribution-loss formulas extended in §1–§2).</w:t>
      </w:r>
    </w:p>
    <w:p w14:paraId="1F67CD66" w14:textId="77777777" w:rsidR="003A0575" w:rsidRDefault="00000000">
      <w:pPr>
        <w:pStyle w:val="ListParagraph"/>
        <w:numPr>
          <w:ilvl w:val="0"/>
          <w:numId w:val="2"/>
        </w:numPr>
        <w:spacing w:after="100" w:line="276" w:lineRule="auto"/>
      </w:pPr>
      <w:r w:rsidRPr="004E2A6A">
        <w:rPr>
          <w:lang w:val="fr-FR"/>
        </w:rPr>
        <w:t xml:space="preserve">Buffa, S., </w:t>
      </w:r>
      <w:proofErr w:type="spellStart"/>
      <w:r w:rsidRPr="004E2A6A">
        <w:rPr>
          <w:lang w:val="fr-FR"/>
        </w:rPr>
        <w:t>Cozzini</w:t>
      </w:r>
      <w:proofErr w:type="spellEnd"/>
      <w:r w:rsidRPr="004E2A6A">
        <w:rPr>
          <w:lang w:val="fr-FR"/>
        </w:rPr>
        <w:t xml:space="preserve">, M., D’Antoni, M., Baratieri, M. &amp; Fedrizzi, R. (2019). </w:t>
      </w:r>
      <w:r>
        <w:t>‘5th generation district heating and cooling systems: A review of existing cases in Europe.’ Renewable and Sustainable Energy Reviews, 104, 504–522. https://doi.org/10.1016/j.rser.2018.12.059</w:t>
      </w:r>
    </w:p>
    <w:p w14:paraId="6C3F8EC7" w14:textId="77777777" w:rsidR="003A0575" w:rsidRDefault="00000000">
      <w:pPr>
        <w:pStyle w:val="ListParagraph"/>
        <w:numPr>
          <w:ilvl w:val="0"/>
          <w:numId w:val="2"/>
        </w:numPr>
        <w:spacing w:after="100" w:line="276" w:lineRule="auto"/>
      </w:pPr>
      <w:r>
        <w:t>Werner, S. (2017). ‘International review of district heating and cooling.’ Energy, 137, 617–631. https://doi.org/10.1016/j.energy.2017.04.045</w:t>
      </w:r>
    </w:p>
    <w:p w14:paraId="5D55687E" w14:textId="77777777" w:rsidR="003A0575" w:rsidRDefault="00000000">
      <w:pPr>
        <w:pStyle w:val="ListParagraph"/>
        <w:numPr>
          <w:ilvl w:val="0"/>
          <w:numId w:val="2"/>
        </w:numPr>
        <w:spacing w:after="100" w:line="276" w:lineRule="auto"/>
      </w:pPr>
      <w:proofErr w:type="spellStart"/>
      <w:r>
        <w:t>İncropera</w:t>
      </w:r>
      <w:proofErr w:type="spellEnd"/>
      <w:r>
        <w:t>, F.P., DeWitt, D.P., Bergman, T.L. &amp; Lavine, A.S. Fundamentals of Heat and Mass Transfer. Wiley (any recent edition) — standard reference for the cylindrical-conduction derivation in §2.1.</w:t>
      </w:r>
    </w:p>
    <w:p w14:paraId="3096A1E2" w14:textId="77777777" w:rsidR="003A0575" w:rsidRDefault="00000000">
      <w:pPr>
        <w:pStyle w:val="ListParagraph"/>
        <w:numPr>
          <w:ilvl w:val="0"/>
          <w:numId w:val="2"/>
        </w:numPr>
        <w:spacing w:after="100" w:line="276" w:lineRule="auto"/>
      </w:pPr>
      <w:proofErr w:type="spellStart"/>
      <w:r>
        <w:t>Çengel</w:t>
      </w:r>
      <w:proofErr w:type="spellEnd"/>
      <w:r>
        <w:t>, Y.A. &amp; Boles, M.A. Thermodynamics: An Engineering Approach. McGraw-Hill (any recent edition) — standard reference for the Carnot COP and exergy derivations in §3.1 and §4.1.</w:t>
      </w:r>
    </w:p>
    <w:p w14:paraId="1DCD3B76" w14:textId="77777777" w:rsidR="003A0575" w:rsidRDefault="00000000">
      <w:pPr>
        <w:pStyle w:val="ListParagraph"/>
        <w:numPr>
          <w:ilvl w:val="0"/>
          <w:numId w:val="2"/>
        </w:numPr>
        <w:spacing w:after="100" w:line="276" w:lineRule="auto"/>
      </w:pPr>
      <w:r>
        <w:t>White, F.M. Fluid Mechanics. McGraw-Hill (any recent edition) — standard reference for the Darcy–Weisbach equation and friction-factor correlations (including Colebrook–White) used in §5.1.</w:t>
      </w:r>
    </w:p>
    <w:p w14:paraId="656EE7F8" w14:textId="77777777" w:rsidR="003A0575" w:rsidRDefault="00000000">
      <w:pPr>
        <w:pStyle w:val="ListParagraph"/>
        <w:numPr>
          <w:ilvl w:val="0"/>
          <w:numId w:val="2"/>
        </w:numPr>
        <w:spacing w:after="100" w:line="276" w:lineRule="auto"/>
      </w:pPr>
      <w:r>
        <w:t>EN 14511 and EN 14825 — heat-pump COP, SCOP and SEER test methods, referenced for the real-machine efficiency context in §3.1.</w:t>
      </w:r>
    </w:p>
    <w:p w14:paraId="6AC60795" w14:textId="3023ABF6" w:rsidR="00A12715" w:rsidRDefault="00000000">
      <w:pPr>
        <w:pStyle w:val="ListParagraph"/>
        <w:numPr>
          <w:ilvl w:val="0"/>
          <w:numId w:val="2"/>
        </w:numPr>
        <w:spacing w:after="100" w:line="276" w:lineRule="auto"/>
      </w:pPr>
      <w:r>
        <w:t>Part 1 (companion document): UC-DHC-UTES-EN-2026, Rev. 3-C, “District Heating Networks, 5GDHC &amp; UTES — Compiled Dossier,” François Dorléans, for the full district-heating history, generation classification, topology, UTES, PVT, refrigerant-selection, and policy content this document deliberately does not repeat.</w:t>
      </w:r>
    </w:p>
    <w:p w14:paraId="6388D11C" w14:textId="77777777" w:rsidR="00A12715" w:rsidRDefault="00A12715">
      <w:r>
        <w:br w:type="page"/>
      </w:r>
    </w:p>
    <w:p w14:paraId="3E3270F1" w14:textId="77777777" w:rsidR="003A0575" w:rsidRDefault="003A0575" w:rsidP="00A12715">
      <w:pPr>
        <w:pStyle w:val="ListParagraph"/>
        <w:spacing w:after="100" w:line="276" w:lineRule="auto"/>
        <w:ind w:left="420"/>
      </w:pPr>
    </w:p>
    <w:p w14:paraId="4A1DCDF3" w14:textId="77777777" w:rsidR="003A0575" w:rsidRDefault="00000000">
      <w:pPr>
        <w:pStyle w:val="Heading1"/>
        <w:spacing w:before="420"/>
      </w:pPr>
      <w:bookmarkStart w:id="20" w:name="_Toc239465098"/>
      <w:r>
        <w:t>Annex B — Acronyms and Symbols</w:t>
      </w:r>
      <w:bookmarkEnd w:id="2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50"/>
      </w:tblGrid>
      <w:tr w:rsidR="003A0575" w14:paraId="1F69BB1D" w14:textId="77777777">
        <w:tblPrEx>
          <w:tblCellMar>
            <w:top w:w="0" w:type="dxa"/>
            <w:bottom w:w="0" w:type="dxa"/>
          </w:tblCellMar>
        </w:tblPrEx>
        <w:trPr>
          <w:tblHeader/>
        </w:trPr>
        <w:tc>
          <w:tcPr>
            <w:tcW w:w="2200" w:type="dxa"/>
            <w:shd w:val="clear" w:color="auto" w:fill="1F4E5F"/>
            <w:tcMar>
              <w:top w:w="60" w:type="dxa"/>
              <w:left w:w="100" w:type="dxa"/>
              <w:bottom w:w="60" w:type="dxa"/>
              <w:right w:w="100" w:type="dxa"/>
            </w:tcMar>
            <w:vAlign w:val="center"/>
          </w:tcPr>
          <w:p w14:paraId="7472AFA0" w14:textId="77777777" w:rsidR="003A0575" w:rsidRDefault="00000000">
            <w:r>
              <w:rPr>
                <w:b/>
                <w:bCs/>
                <w:color w:val="FFFFFF"/>
                <w:sz w:val="18"/>
                <w:szCs w:val="18"/>
              </w:rPr>
              <w:t>Symbol / Acronym</w:t>
            </w:r>
          </w:p>
        </w:tc>
        <w:tc>
          <w:tcPr>
            <w:tcW w:w="7150" w:type="dxa"/>
            <w:shd w:val="clear" w:color="auto" w:fill="1F4E5F"/>
            <w:tcMar>
              <w:top w:w="60" w:type="dxa"/>
              <w:left w:w="100" w:type="dxa"/>
              <w:bottom w:w="60" w:type="dxa"/>
              <w:right w:w="100" w:type="dxa"/>
            </w:tcMar>
            <w:vAlign w:val="center"/>
          </w:tcPr>
          <w:p w14:paraId="6EC890D9" w14:textId="77777777" w:rsidR="003A0575" w:rsidRDefault="00000000">
            <w:r>
              <w:rPr>
                <w:b/>
                <w:bCs/>
                <w:color w:val="FFFFFF"/>
                <w:sz w:val="18"/>
                <w:szCs w:val="18"/>
              </w:rPr>
              <w:t>Meaning</w:t>
            </w:r>
          </w:p>
        </w:tc>
      </w:tr>
      <w:tr w:rsidR="003A0575" w14:paraId="1D3A7083"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63BF8C4" w14:textId="77777777" w:rsidR="003A0575" w:rsidRDefault="00000000">
            <w:r>
              <w:rPr>
                <w:sz w:val="18"/>
                <w:szCs w:val="18"/>
              </w:rPr>
              <w:t>1GDH–5GDHC</w:t>
            </w:r>
          </w:p>
        </w:tc>
        <w:tc>
          <w:tcPr>
            <w:tcW w:w="7150" w:type="dxa"/>
            <w:shd w:val="clear" w:color="auto" w:fill="F2F6F8"/>
            <w:tcMar>
              <w:top w:w="50" w:type="dxa"/>
              <w:left w:w="100" w:type="dxa"/>
              <w:bottom w:w="50" w:type="dxa"/>
              <w:right w:w="100" w:type="dxa"/>
            </w:tcMar>
            <w:vAlign w:val="center"/>
          </w:tcPr>
          <w:p w14:paraId="35C337A4" w14:textId="77777777" w:rsidR="003A0575" w:rsidRDefault="00000000">
            <w:r>
              <w:rPr>
                <w:sz w:val="18"/>
                <w:szCs w:val="18"/>
              </w:rPr>
              <w:t>First- to fifth-generation district heating (and cooling) systems — see Part 1 for full definitions</w:t>
            </w:r>
          </w:p>
        </w:tc>
      </w:tr>
      <w:tr w:rsidR="003A0575" w14:paraId="0247B398"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5FB1493" w14:textId="77777777" w:rsidR="003A0575" w:rsidRDefault="00000000">
            <w:r>
              <w:rPr>
                <w:sz w:val="18"/>
                <w:szCs w:val="18"/>
              </w:rPr>
              <w:t>COP</w:t>
            </w:r>
          </w:p>
        </w:tc>
        <w:tc>
          <w:tcPr>
            <w:tcW w:w="7150" w:type="dxa"/>
            <w:shd w:val="clear" w:color="auto" w:fill="FFFFFF"/>
            <w:tcMar>
              <w:top w:w="50" w:type="dxa"/>
              <w:left w:w="100" w:type="dxa"/>
              <w:bottom w:w="50" w:type="dxa"/>
              <w:right w:w="100" w:type="dxa"/>
            </w:tcMar>
            <w:vAlign w:val="center"/>
          </w:tcPr>
          <w:p w14:paraId="6C513413" w14:textId="77777777" w:rsidR="003A0575" w:rsidRDefault="00000000">
            <w:r>
              <w:rPr>
                <w:sz w:val="18"/>
                <w:szCs w:val="18"/>
              </w:rPr>
              <w:t>Coefficient of Performance</w:t>
            </w:r>
          </w:p>
        </w:tc>
      </w:tr>
      <w:tr w:rsidR="003A0575" w14:paraId="6BB65260"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13C176E8" w14:textId="77777777" w:rsidR="003A0575" w:rsidRDefault="00000000">
            <w:r>
              <w:rPr>
                <w:sz w:val="18"/>
                <w:szCs w:val="18"/>
              </w:rPr>
              <w:t>cₚ</w:t>
            </w:r>
          </w:p>
        </w:tc>
        <w:tc>
          <w:tcPr>
            <w:tcW w:w="7150" w:type="dxa"/>
            <w:shd w:val="clear" w:color="auto" w:fill="F2F6F8"/>
            <w:tcMar>
              <w:top w:w="50" w:type="dxa"/>
              <w:left w:w="100" w:type="dxa"/>
              <w:bottom w:w="50" w:type="dxa"/>
              <w:right w:w="100" w:type="dxa"/>
            </w:tcMar>
            <w:vAlign w:val="center"/>
          </w:tcPr>
          <w:p w14:paraId="7FFB6DF5" w14:textId="77777777" w:rsidR="003A0575" w:rsidRDefault="00000000">
            <w:r>
              <w:rPr>
                <w:sz w:val="18"/>
                <w:szCs w:val="18"/>
              </w:rPr>
              <w:t>Specific heat capacity at constant pressure (J/</w:t>
            </w:r>
            <w:proofErr w:type="spellStart"/>
            <w:r>
              <w:rPr>
                <w:sz w:val="18"/>
                <w:szCs w:val="18"/>
              </w:rPr>
              <w:t>kg·K</w:t>
            </w:r>
            <w:proofErr w:type="spellEnd"/>
            <w:r>
              <w:rPr>
                <w:sz w:val="18"/>
                <w:szCs w:val="18"/>
              </w:rPr>
              <w:t>)</w:t>
            </w:r>
          </w:p>
        </w:tc>
      </w:tr>
      <w:tr w:rsidR="003A0575" w14:paraId="56BD2A63"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C832F2D" w14:textId="77777777" w:rsidR="003A0575" w:rsidRDefault="00000000">
            <w:r>
              <w:rPr>
                <w:sz w:val="18"/>
                <w:szCs w:val="18"/>
              </w:rPr>
              <w:t>D</w:t>
            </w:r>
          </w:p>
        </w:tc>
        <w:tc>
          <w:tcPr>
            <w:tcW w:w="7150" w:type="dxa"/>
            <w:shd w:val="clear" w:color="auto" w:fill="FFFFFF"/>
            <w:tcMar>
              <w:top w:w="50" w:type="dxa"/>
              <w:left w:w="100" w:type="dxa"/>
              <w:bottom w:w="50" w:type="dxa"/>
              <w:right w:w="100" w:type="dxa"/>
            </w:tcMar>
            <w:vAlign w:val="center"/>
          </w:tcPr>
          <w:p w14:paraId="5FB5A664" w14:textId="77777777" w:rsidR="003A0575" w:rsidRDefault="00000000">
            <w:r>
              <w:rPr>
                <w:sz w:val="18"/>
                <w:szCs w:val="18"/>
              </w:rPr>
              <w:t>Pipe internal diameter (m)</w:t>
            </w:r>
          </w:p>
        </w:tc>
      </w:tr>
      <w:tr w:rsidR="003A0575" w14:paraId="314F8945"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320FEC8F" w14:textId="77777777" w:rsidR="003A0575" w:rsidRDefault="00000000">
            <w:r>
              <w:rPr>
                <w:sz w:val="18"/>
                <w:szCs w:val="18"/>
              </w:rPr>
              <w:t>Ex</w:t>
            </w:r>
          </w:p>
        </w:tc>
        <w:tc>
          <w:tcPr>
            <w:tcW w:w="7150" w:type="dxa"/>
            <w:shd w:val="clear" w:color="auto" w:fill="F2F6F8"/>
            <w:tcMar>
              <w:top w:w="50" w:type="dxa"/>
              <w:left w:w="100" w:type="dxa"/>
              <w:bottom w:w="50" w:type="dxa"/>
              <w:right w:w="100" w:type="dxa"/>
            </w:tcMar>
            <w:vAlign w:val="center"/>
          </w:tcPr>
          <w:p w14:paraId="27F30690" w14:textId="77777777" w:rsidR="003A0575" w:rsidRDefault="00000000">
            <w:r>
              <w:rPr>
                <w:sz w:val="18"/>
                <w:szCs w:val="18"/>
              </w:rPr>
              <w:t>Exergy (kWh or J)</w:t>
            </w:r>
          </w:p>
        </w:tc>
      </w:tr>
      <w:tr w:rsidR="003A0575" w14:paraId="47BFCD44"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5351F66E" w14:textId="77777777" w:rsidR="003A0575" w:rsidRDefault="00000000">
            <w:r>
              <w:rPr>
                <w:sz w:val="18"/>
                <w:szCs w:val="18"/>
              </w:rPr>
              <w:t>f</w:t>
            </w:r>
          </w:p>
        </w:tc>
        <w:tc>
          <w:tcPr>
            <w:tcW w:w="7150" w:type="dxa"/>
            <w:shd w:val="clear" w:color="auto" w:fill="FFFFFF"/>
            <w:tcMar>
              <w:top w:w="50" w:type="dxa"/>
              <w:left w:w="100" w:type="dxa"/>
              <w:bottom w:w="50" w:type="dxa"/>
              <w:right w:w="100" w:type="dxa"/>
            </w:tcMar>
            <w:vAlign w:val="center"/>
          </w:tcPr>
          <w:p w14:paraId="0A67B60D" w14:textId="77777777" w:rsidR="003A0575" w:rsidRDefault="00000000">
            <w:r>
              <w:rPr>
                <w:sz w:val="18"/>
                <w:szCs w:val="18"/>
              </w:rPr>
              <w:t>Darcy friction factor (dimensionless)</w:t>
            </w:r>
          </w:p>
        </w:tc>
      </w:tr>
      <w:tr w:rsidR="003A0575" w14:paraId="374ED122"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24327A8E" w14:textId="77777777" w:rsidR="003A0575" w:rsidRDefault="00000000">
            <w:r>
              <w:rPr>
                <w:sz w:val="18"/>
                <w:szCs w:val="18"/>
              </w:rPr>
              <w:t>L</w:t>
            </w:r>
          </w:p>
        </w:tc>
        <w:tc>
          <w:tcPr>
            <w:tcW w:w="7150" w:type="dxa"/>
            <w:shd w:val="clear" w:color="auto" w:fill="F2F6F8"/>
            <w:tcMar>
              <w:top w:w="50" w:type="dxa"/>
              <w:left w:w="100" w:type="dxa"/>
              <w:bottom w:w="50" w:type="dxa"/>
              <w:right w:w="100" w:type="dxa"/>
            </w:tcMar>
            <w:vAlign w:val="center"/>
          </w:tcPr>
          <w:p w14:paraId="3F944CB0" w14:textId="77777777" w:rsidR="003A0575" w:rsidRDefault="00000000">
            <w:r>
              <w:rPr>
                <w:sz w:val="18"/>
                <w:szCs w:val="18"/>
              </w:rPr>
              <w:t>Pipe length (m)</w:t>
            </w:r>
          </w:p>
        </w:tc>
      </w:tr>
      <w:tr w:rsidR="003A0575" w14:paraId="3C4473EA"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5B9CCFB" w14:textId="77777777" w:rsidR="003A0575" w:rsidRDefault="00000000">
            <w:r>
              <w:rPr>
                <w:sz w:val="18"/>
                <w:szCs w:val="18"/>
              </w:rPr>
              <w:t>ṁ</w:t>
            </w:r>
          </w:p>
        </w:tc>
        <w:tc>
          <w:tcPr>
            <w:tcW w:w="7150" w:type="dxa"/>
            <w:shd w:val="clear" w:color="auto" w:fill="FFFFFF"/>
            <w:tcMar>
              <w:top w:w="50" w:type="dxa"/>
              <w:left w:w="100" w:type="dxa"/>
              <w:bottom w:w="50" w:type="dxa"/>
              <w:right w:w="100" w:type="dxa"/>
            </w:tcMar>
            <w:vAlign w:val="center"/>
          </w:tcPr>
          <w:p w14:paraId="23F9ABE7" w14:textId="77777777" w:rsidR="003A0575" w:rsidRDefault="00000000">
            <w:r>
              <w:rPr>
                <w:sz w:val="18"/>
                <w:szCs w:val="18"/>
              </w:rPr>
              <w:t>Mass flow rate (kg/s)</w:t>
            </w:r>
          </w:p>
        </w:tc>
      </w:tr>
      <w:tr w:rsidR="003A0575" w14:paraId="75940F1A"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291FBE49" w14:textId="77777777" w:rsidR="003A0575" w:rsidRDefault="00000000">
            <w:r>
              <w:rPr>
                <w:sz w:val="18"/>
                <w:szCs w:val="18"/>
              </w:rPr>
              <w:t>Q, Q̇</w:t>
            </w:r>
          </w:p>
        </w:tc>
        <w:tc>
          <w:tcPr>
            <w:tcW w:w="7150" w:type="dxa"/>
            <w:shd w:val="clear" w:color="auto" w:fill="F2F6F8"/>
            <w:tcMar>
              <w:top w:w="50" w:type="dxa"/>
              <w:left w:w="100" w:type="dxa"/>
              <w:bottom w:w="50" w:type="dxa"/>
              <w:right w:w="100" w:type="dxa"/>
            </w:tcMar>
            <w:vAlign w:val="center"/>
          </w:tcPr>
          <w:p w14:paraId="41D3CE09" w14:textId="77777777" w:rsidR="003A0575" w:rsidRDefault="00000000">
            <w:r>
              <w:rPr>
                <w:sz w:val="18"/>
                <w:szCs w:val="18"/>
              </w:rPr>
              <w:t>Heat quantity (kWh/J) or heat flow rate (W)</w:t>
            </w:r>
          </w:p>
        </w:tc>
      </w:tr>
      <w:tr w:rsidR="003A0575" w14:paraId="231C595F"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4C143E7F" w14:textId="77777777" w:rsidR="003A0575" w:rsidRDefault="00000000">
            <w:r>
              <w:rPr>
                <w:sz w:val="18"/>
                <w:szCs w:val="18"/>
              </w:rPr>
              <w:t>r</w:t>
            </w:r>
          </w:p>
        </w:tc>
        <w:tc>
          <w:tcPr>
            <w:tcW w:w="7150" w:type="dxa"/>
            <w:shd w:val="clear" w:color="auto" w:fill="FFFFFF"/>
            <w:tcMar>
              <w:top w:w="50" w:type="dxa"/>
              <w:left w:w="100" w:type="dxa"/>
              <w:bottom w:w="50" w:type="dxa"/>
              <w:right w:w="100" w:type="dxa"/>
            </w:tcMar>
            <w:vAlign w:val="center"/>
          </w:tcPr>
          <w:p w14:paraId="3FAE771D" w14:textId="77777777" w:rsidR="003A0575" w:rsidRDefault="00000000">
            <w:r>
              <w:rPr>
                <w:sz w:val="18"/>
                <w:szCs w:val="18"/>
              </w:rPr>
              <w:t>Pipe outer radius (m)</w:t>
            </w:r>
          </w:p>
        </w:tc>
      </w:tr>
      <w:tr w:rsidR="003A0575" w14:paraId="70B6B855"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119D5014" w14:textId="77777777" w:rsidR="003A0575" w:rsidRDefault="00000000">
            <w:proofErr w:type="spellStart"/>
            <w:r>
              <w:rPr>
                <w:sz w:val="18"/>
                <w:szCs w:val="18"/>
              </w:rPr>
              <w:t>R_total</w:t>
            </w:r>
            <w:proofErr w:type="spellEnd"/>
          </w:p>
        </w:tc>
        <w:tc>
          <w:tcPr>
            <w:tcW w:w="7150" w:type="dxa"/>
            <w:shd w:val="clear" w:color="auto" w:fill="F2F6F8"/>
            <w:tcMar>
              <w:top w:w="50" w:type="dxa"/>
              <w:left w:w="100" w:type="dxa"/>
              <w:bottom w:w="50" w:type="dxa"/>
              <w:right w:w="100" w:type="dxa"/>
            </w:tcMar>
            <w:vAlign w:val="center"/>
          </w:tcPr>
          <w:p w14:paraId="5B15DC71" w14:textId="77777777" w:rsidR="003A0575" w:rsidRDefault="00000000">
            <w:r>
              <w:rPr>
                <w:sz w:val="18"/>
                <w:szCs w:val="18"/>
              </w:rPr>
              <w:t>Total thermal resistance per unit pipe length (</w:t>
            </w:r>
            <w:proofErr w:type="spellStart"/>
            <w:r>
              <w:rPr>
                <w:sz w:val="18"/>
                <w:szCs w:val="18"/>
              </w:rPr>
              <w:t>m·K</w:t>
            </w:r>
            <w:proofErr w:type="spellEnd"/>
            <w:r>
              <w:rPr>
                <w:sz w:val="18"/>
                <w:szCs w:val="18"/>
              </w:rPr>
              <w:t>/W)</w:t>
            </w:r>
          </w:p>
        </w:tc>
      </w:tr>
      <w:tr w:rsidR="003A0575" w14:paraId="26B34D62"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2CCA9A8D" w14:textId="77777777" w:rsidR="003A0575" w:rsidRDefault="00000000">
            <w:r>
              <w:rPr>
                <w:sz w:val="18"/>
                <w:szCs w:val="18"/>
              </w:rPr>
              <w:t>Re</w:t>
            </w:r>
          </w:p>
        </w:tc>
        <w:tc>
          <w:tcPr>
            <w:tcW w:w="7150" w:type="dxa"/>
            <w:shd w:val="clear" w:color="auto" w:fill="FFFFFF"/>
            <w:tcMar>
              <w:top w:w="50" w:type="dxa"/>
              <w:left w:w="100" w:type="dxa"/>
              <w:bottom w:w="50" w:type="dxa"/>
              <w:right w:w="100" w:type="dxa"/>
            </w:tcMar>
            <w:vAlign w:val="center"/>
          </w:tcPr>
          <w:p w14:paraId="7397EEDB" w14:textId="77777777" w:rsidR="003A0575" w:rsidRDefault="00000000">
            <w:r>
              <w:rPr>
                <w:sz w:val="18"/>
                <w:szCs w:val="18"/>
              </w:rPr>
              <w:t>Reynolds number (dimensionless)</w:t>
            </w:r>
          </w:p>
        </w:tc>
      </w:tr>
      <w:tr w:rsidR="003A0575" w14:paraId="68D2799D"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47AC6BD0" w14:textId="77777777" w:rsidR="003A0575" w:rsidRDefault="00000000">
            <w:proofErr w:type="spellStart"/>
            <w:r>
              <w:rPr>
                <w:sz w:val="18"/>
                <w:szCs w:val="18"/>
              </w:rPr>
              <w:t>T_f</w:t>
            </w:r>
            <w:proofErr w:type="spellEnd"/>
            <w:r>
              <w:rPr>
                <w:sz w:val="18"/>
                <w:szCs w:val="18"/>
              </w:rPr>
              <w:t xml:space="preserve">, </w:t>
            </w:r>
            <w:proofErr w:type="spellStart"/>
            <w:r>
              <w:rPr>
                <w:sz w:val="18"/>
                <w:szCs w:val="18"/>
              </w:rPr>
              <w:t>T_g</w:t>
            </w:r>
            <w:proofErr w:type="spellEnd"/>
            <w:r>
              <w:rPr>
                <w:sz w:val="18"/>
                <w:szCs w:val="18"/>
              </w:rPr>
              <w:t>, T₀</w:t>
            </w:r>
          </w:p>
        </w:tc>
        <w:tc>
          <w:tcPr>
            <w:tcW w:w="7150" w:type="dxa"/>
            <w:shd w:val="clear" w:color="auto" w:fill="F2F6F8"/>
            <w:tcMar>
              <w:top w:w="50" w:type="dxa"/>
              <w:left w:w="100" w:type="dxa"/>
              <w:bottom w:w="50" w:type="dxa"/>
              <w:right w:w="100" w:type="dxa"/>
            </w:tcMar>
            <w:vAlign w:val="center"/>
          </w:tcPr>
          <w:p w14:paraId="3CB0E1C8" w14:textId="77777777" w:rsidR="003A0575" w:rsidRDefault="00000000">
            <w:r>
              <w:rPr>
                <w:sz w:val="18"/>
                <w:szCs w:val="18"/>
              </w:rPr>
              <w:t>Fluid temperature, ground temperature, reference environment temperature (K or °C)</w:t>
            </w:r>
          </w:p>
        </w:tc>
      </w:tr>
      <w:tr w:rsidR="003A0575" w14:paraId="5906C5F2"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D907292" w14:textId="77777777" w:rsidR="003A0575" w:rsidRDefault="00000000">
            <w:r>
              <w:rPr>
                <w:sz w:val="18"/>
                <w:szCs w:val="18"/>
              </w:rPr>
              <w:t>U</w:t>
            </w:r>
          </w:p>
        </w:tc>
        <w:tc>
          <w:tcPr>
            <w:tcW w:w="7150" w:type="dxa"/>
            <w:shd w:val="clear" w:color="auto" w:fill="FFFFFF"/>
            <w:tcMar>
              <w:top w:w="50" w:type="dxa"/>
              <w:left w:w="100" w:type="dxa"/>
              <w:bottom w:w="50" w:type="dxa"/>
              <w:right w:w="100" w:type="dxa"/>
            </w:tcMar>
            <w:vAlign w:val="center"/>
          </w:tcPr>
          <w:p w14:paraId="59883284" w14:textId="77777777" w:rsidR="003A0575" w:rsidRDefault="00000000">
            <w:r>
              <w:rPr>
                <w:sz w:val="18"/>
                <w:szCs w:val="18"/>
              </w:rPr>
              <w:t>Overall heat-transfer coefficient (W/m²·K)</w:t>
            </w:r>
          </w:p>
        </w:tc>
      </w:tr>
      <w:tr w:rsidR="003A0575" w14:paraId="5D965ED3"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73E4C681" w14:textId="77777777" w:rsidR="003A0575" w:rsidRDefault="00000000">
            <w:r>
              <w:rPr>
                <w:sz w:val="18"/>
                <w:szCs w:val="18"/>
              </w:rPr>
              <w:t>v</w:t>
            </w:r>
          </w:p>
        </w:tc>
        <w:tc>
          <w:tcPr>
            <w:tcW w:w="7150" w:type="dxa"/>
            <w:shd w:val="clear" w:color="auto" w:fill="F2F6F8"/>
            <w:tcMar>
              <w:top w:w="50" w:type="dxa"/>
              <w:left w:w="100" w:type="dxa"/>
              <w:bottom w:w="50" w:type="dxa"/>
              <w:right w:w="100" w:type="dxa"/>
            </w:tcMar>
            <w:vAlign w:val="center"/>
          </w:tcPr>
          <w:p w14:paraId="2AA02ACA" w14:textId="77777777" w:rsidR="003A0575" w:rsidRDefault="00000000">
            <w:r>
              <w:rPr>
                <w:sz w:val="18"/>
                <w:szCs w:val="18"/>
              </w:rPr>
              <w:t>Mean flow velocity (m/s)</w:t>
            </w:r>
          </w:p>
        </w:tc>
      </w:tr>
      <w:tr w:rsidR="003A0575" w14:paraId="0A82A34E"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CC09D84" w14:textId="77777777" w:rsidR="003A0575" w:rsidRDefault="00000000">
            <w:proofErr w:type="spellStart"/>
            <w:r>
              <w:rPr>
                <w:sz w:val="18"/>
                <w:szCs w:val="18"/>
              </w:rPr>
              <w:t>W_el</w:t>
            </w:r>
            <w:proofErr w:type="spellEnd"/>
          </w:p>
        </w:tc>
        <w:tc>
          <w:tcPr>
            <w:tcW w:w="7150" w:type="dxa"/>
            <w:shd w:val="clear" w:color="auto" w:fill="FFFFFF"/>
            <w:tcMar>
              <w:top w:w="50" w:type="dxa"/>
              <w:left w:w="100" w:type="dxa"/>
              <w:bottom w:w="50" w:type="dxa"/>
              <w:right w:w="100" w:type="dxa"/>
            </w:tcMar>
            <w:vAlign w:val="center"/>
          </w:tcPr>
          <w:p w14:paraId="3467BB21" w14:textId="77777777" w:rsidR="003A0575" w:rsidRDefault="00000000">
            <w:r>
              <w:rPr>
                <w:sz w:val="18"/>
                <w:szCs w:val="18"/>
              </w:rPr>
              <w:t>Electrical power consumption (W)</w:t>
            </w:r>
          </w:p>
        </w:tc>
      </w:tr>
      <w:tr w:rsidR="003A0575" w14:paraId="0DD22213"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50BF914C" w14:textId="77777777" w:rsidR="003A0575" w:rsidRDefault="00000000">
            <w:proofErr w:type="spellStart"/>
            <w:r>
              <w:rPr>
                <w:sz w:val="18"/>
                <w:szCs w:val="18"/>
              </w:rPr>
              <w:t>Δp</w:t>
            </w:r>
            <w:proofErr w:type="spellEnd"/>
          </w:p>
        </w:tc>
        <w:tc>
          <w:tcPr>
            <w:tcW w:w="7150" w:type="dxa"/>
            <w:shd w:val="clear" w:color="auto" w:fill="F2F6F8"/>
            <w:tcMar>
              <w:top w:w="50" w:type="dxa"/>
              <w:left w:w="100" w:type="dxa"/>
              <w:bottom w:w="50" w:type="dxa"/>
              <w:right w:w="100" w:type="dxa"/>
            </w:tcMar>
            <w:vAlign w:val="center"/>
          </w:tcPr>
          <w:p w14:paraId="6035DFA8" w14:textId="77777777" w:rsidR="003A0575" w:rsidRDefault="00000000">
            <w:r>
              <w:rPr>
                <w:sz w:val="18"/>
                <w:szCs w:val="18"/>
              </w:rPr>
              <w:t xml:space="preserve">Pressure </w:t>
            </w:r>
            <w:proofErr w:type="gramStart"/>
            <w:r>
              <w:rPr>
                <w:sz w:val="18"/>
                <w:szCs w:val="18"/>
              </w:rPr>
              <w:t>drop</w:t>
            </w:r>
            <w:proofErr w:type="gramEnd"/>
            <w:r>
              <w:rPr>
                <w:sz w:val="18"/>
                <w:szCs w:val="18"/>
              </w:rPr>
              <w:t xml:space="preserve"> (Pa or bar)</w:t>
            </w:r>
          </w:p>
        </w:tc>
      </w:tr>
      <w:tr w:rsidR="003A0575" w14:paraId="7313D672"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5171F7E9" w14:textId="77777777" w:rsidR="003A0575" w:rsidRDefault="00000000">
            <w:r>
              <w:rPr>
                <w:sz w:val="18"/>
                <w:szCs w:val="18"/>
              </w:rPr>
              <w:t>ΔT</w:t>
            </w:r>
          </w:p>
        </w:tc>
        <w:tc>
          <w:tcPr>
            <w:tcW w:w="7150" w:type="dxa"/>
            <w:shd w:val="clear" w:color="auto" w:fill="FFFFFF"/>
            <w:tcMar>
              <w:top w:w="50" w:type="dxa"/>
              <w:left w:w="100" w:type="dxa"/>
              <w:bottom w:w="50" w:type="dxa"/>
              <w:right w:w="100" w:type="dxa"/>
            </w:tcMar>
            <w:vAlign w:val="center"/>
          </w:tcPr>
          <w:p w14:paraId="1C408AA6" w14:textId="77777777" w:rsidR="003A0575" w:rsidRDefault="00000000">
            <w:r>
              <w:rPr>
                <w:sz w:val="18"/>
                <w:szCs w:val="18"/>
              </w:rPr>
              <w:t>Temperature difference, typically supply−return or hot−cold (K)</w:t>
            </w:r>
          </w:p>
        </w:tc>
      </w:tr>
      <w:tr w:rsidR="003A0575" w14:paraId="4D64A0E9"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5B16D2F1" w14:textId="77777777" w:rsidR="003A0575" w:rsidRDefault="00000000">
            <w:r>
              <w:rPr>
                <w:sz w:val="18"/>
                <w:szCs w:val="18"/>
              </w:rPr>
              <w:t>δ</w:t>
            </w:r>
          </w:p>
        </w:tc>
        <w:tc>
          <w:tcPr>
            <w:tcW w:w="7150" w:type="dxa"/>
            <w:shd w:val="clear" w:color="auto" w:fill="F2F6F8"/>
            <w:tcMar>
              <w:top w:w="50" w:type="dxa"/>
              <w:left w:w="100" w:type="dxa"/>
              <w:bottom w:w="50" w:type="dxa"/>
              <w:right w:w="100" w:type="dxa"/>
            </w:tcMar>
            <w:vAlign w:val="center"/>
          </w:tcPr>
          <w:p w14:paraId="15A7473D" w14:textId="77777777" w:rsidR="003A0575" w:rsidRDefault="00000000">
            <w:r>
              <w:rPr>
                <w:sz w:val="18"/>
                <w:szCs w:val="18"/>
              </w:rPr>
              <w:t>Insulation thickness (m)</w:t>
            </w:r>
          </w:p>
        </w:tc>
      </w:tr>
      <w:tr w:rsidR="003A0575" w14:paraId="5CB18C1E"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287DFBDD" w14:textId="77777777" w:rsidR="003A0575" w:rsidRDefault="00000000">
            <w:proofErr w:type="spellStart"/>
            <w:r>
              <w:rPr>
                <w:sz w:val="18"/>
                <w:szCs w:val="18"/>
              </w:rPr>
              <w:t>η_Carnot</w:t>
            </w:r>
            <w:proofErr w:type="spellEnd"/>
          </w:p>
        </w:tc>
        <w:tc>
          <w:tcPr>
            <w:tcW w:w="7150" w:type="dxa"/>
            <w:shd w:val="clear" w:color="auto" w:fill="FFFFFF"/>
            <w:tcMar>
              <w:top w:w="50" w:type="dxa"/>
              <w:left w:w="100" w:type="dxa"/>
              <w:bottom w:w="50" w:type="dxa"/>
              <w:right w:w="100" w:type="dxa"/>
            </w:tcMar>
            <w:vAlign w:val="center"/>
          </w:tcPr>
          <w:p w14:paraId="0434125F" w14:textId="77777777" w:rsidR="003A0575" w:rsidRDefault="00000000">
            <w:r>
              <w:rPr>
                <w:sz w:val="18"/>
                <w:szCs w:val="18"/>
              </w:rPr>
              <w:t>Second-law (Carnot) efficiency of a real heat pump relative to the ideal cycle</w:t>
            </w:r>
          </w:p>
        </w:tc>
      </w:tr>
      <w:tr w:rsidR="003A0575" w14:paraId="529D169C" w14:textId="77777777">
        <w:tblPrEx>
          <w:tblCellMar>
            <w:top w:w="0" w:type="dxa"/>
            <w:bottom w:w="0" w:type="dxa"/>
          </w:tblCellMar>
        </w:tblPrEx>
        <w:tc>
          <w:tcPr>
            <w:tcW w:w="2200" w:type="dxa"/>
            <w:shd w:val="clear" w:color="auto" w:fill="F2F6F8"/>
            <w:tcMar>
              <w:top w:w="50" w:type="dxa"/>
              <w:left w:w="100" w:type="dxa"/>
              <w:bottom w:w="50" w:type="dxa"/>
              <w:right w:w="100" w:type="dxa"/>
            </w:tcMar>
            <w:vAlign w:val="center"/>
          </w:tcPr>
          <w:p w14:paraId="2259514A" w14:textId="77777777" w:rsidR="003A0575" w:rsidRDefault="00000000">
            <w:proofErr w:type="spellStart"/>
            <w:r>
              <w:rPr>
                <w:sz w:val="18"/>
                <w:szCs w:val="18"/>
              </w:rPr>
              <w:t>λ_ins</w:t>
            </w:r>
            <w:proofErr w:type="spellEnd"/>
          </w:p>
        </w:tc>
        <w:tc>
          <w:tcPr>
            <w:tcW w:w="7150" w:type="dxa"/>
            <w:shd w:val="clear" w:color="auto" w:fill="F2F6F8"/>
            <w:tcMar>
              <w:top w:w="50" w:type="dxa"/>
              <w:left w:w="100" w:type="dxa"/>
              <w:bottom w:w="50" w:type="dxa"/>
              <w:right w:w="100" w:type="dxa"/>
            </w:tcMar>
            <w:vAlign w:val="center"/>
          </w:tcPr>
          <w:p w14:paraId="5790370F" w14:textId="77777777" w:rsidR="003A0575" w:rsidRDefault="00000000">
            <w:r>
              <w:rPr>
                <w:sz w:val="18"/>
                <w:szCs w:val="18"/>
              </w:rPr>
              <w:t>Insulation thermal conductivity (W/</w:t>
            </w:r>
            <w:proofErr w:type="spellStart"/>
            <w:r>
              <w:rPr>
                <w:sz w:val="18"/>
                <w:szCs w:val="18"/>
              </w:rPr>
              <w:t>m·K</w:t>
            </w:r>
            <w:proofErr w:type="spellEnd"/>
            <w:r>
              <w:rPr>
                <w:sz w:val="18"/>
                <w:szCs w:val="18"/>
              </w:rPr>
              <w:t>)</w:t>
            </w:r>
          </w:p>
        </w:tc>
      </w:tr>
      <w:tr w:rsidR="003A0575" w14:paraId="42542755" w14:textId="77777777">
        <w:tblPrEx>
          <w:tblCellMar>
            <w:top w:w="0" w:type="dxa"/>
            <w:bottom w:w="0" w:type="dxa"/>
          </w:tblCellMar>
        </w:tblPrEx>
        <w:tc>
          <w:tcPr>
            <w:tcW w:w="2200" w:type="dxa"/>
            <w:shd w:val="clear" w:color="auto" w:fill="FFFFFF"/>
            <w:tcMar>
              <w:top w:w="50" w:type="dxa"/>
              <w:left w:w="100" w:type="dxa"/>
              <w:bottom w:w="50" w:type="dxa"/>
              <w:right w:w="100" w:type="dxa"/>
            </w:tcMar>
            <w:vAlign w:val="center"/>
          </w:tcPr>
          <w:p w14:paraId="6F79488B" w14:textId="77777777" w:rsidR="003A0575" w:rsidRDefault="00000000">
            <w:r>
              <w:rPr>
                <w:sz w:val="18"/>
                <w:szCs w:val="18"/>
              </w:rPr>
              <w:t>ρ</w:t>
            </w:r>
          </w:p>
        </w:tc>
        <w:tc>
          <w:tcPr>
            <w:tcW w:w="7150" w:type="dxa"/>
            <w:shd w:val="clear" w:color="auto" w:fill="FFFFFF"/>
            <w:tcMar>
              <w:top w:w="50" w:type="dxa"/>
              <w:left w:w="100" w:type="dxa"/>
              <w:bottom w:w="50" w:type="dxa"/>
              <w:right w:w="100" w:type="dxa"/>
            </w:tcMar>
            <w:vAlign w:val="center"/>
          </w:tcPr>
          <w:p w14:paraId="1AE0EF97" w14:textId="77777777" w:rsidR="003A0575" w:rsidRDefault="00000000">
            <w:r>
              <w:rPr>
                <w:sz w:val="18"/>
                <w:szCs w:val="18"/>
              </w:rPr>
              <w:t>Fluid density (kg/m³)</w:t>
            </w:r>
          </w:p>
        </w:tc>
      </w:tr>
    </w:tbl>
    <w:p w14:paraId="41DE2679" w14:textId="77777777" w:rsidR="00A12715" w:rsidRDefault="00A12715">
      <w:pPr>
        <w:pStyle w:val="Heading1"/>
        <w:spacing w:before="200" w:after="260"/>
      </w:pPr>
    </w:p>
    <w:p w14:paraId="1F290251" w14:textId="77777777" w:rsidR="00A12715" w:rsidRDefault="00A12715">
      <w:pPr>
        <w:rPr>
          <w:b/>
          <w:bCs/>
          <w:color w:val="1F4E5F"/>
          <w:sz w:val="30"/>
          <w:szCs w:val="30"/>
        </w:rPr>
      </w:pPr>
      <w:r>
        <w:br w:type="page"/>
      </w:r>
    </w:p>
    <w:p w14:paraId="0C5C2F9E" w14:textId="0276B5CC" w:rsidR="003A0575" w:rsidRDefault="00000000">
      <w:pPr>
        <w:pStyle w:val="Heading1"/>
        <w:spacing w:before="200" w:after="260"/>
      </w:pPr>
      <w:bookmarkStart w:id="21" w:name="_Toc239465099"/>
      <w:r>
        <w:lastRenderedPageBreak/>
        <w:t>Index</w:t>
      </w:r>
      <w:bookmarkEnd w:id="21"/>
    </w:p>
    <w:p w14:paraId="67529B53" w14:textId="290910D9" w:rsidR="00A12715" w:rsidRDefault="00A12715">
      <w:pPr>
        <w:pStyle w:val="TOC1"/>
        <w:tabs>
          <w:tab w:val="right" w:leader="dot" w:pos="10998"/>
        </w:tabs>
        <w:rPr>
          <w:noProof/>
        </w:rPr>
      </w:pPr>
      <w:r>
        <w:rPr>
          <w:b/>
          <w:bCs/>
        </w:rPr>
        <w:fldChar w:fldCharType="begin"/>
      </w:r>
      <w:r>
        <w:rPr>
          <w:b/>
          <w:bCs/>
        </w:rPr>
        <w:instrText xml:space="preserve"> TOC \o "1-3" \h \z \u </w:instrText>
      </w:r>
      <w:r>
        <w:rPr>
          <w:b/>
          <w:bCs/>
        </w:rPr>
        <w:fldChar w:fldCharType="separate"/>
      </w:r>
      <w:hyperlink w:anchor="_Toc239465078" w:history="1">
        <w:r w:rsidRPr="000E7696">
          <w:rPr>
            <w:rStyle w:val="Hyperlink"/>
            <w:noProof/>
          </w:rPr>
          <w:t>Revision History</w:t>
        </w:r>
        <w:r>
          <w:rPr>
            <w:noProof/>
            <w:webHidden/>
          </w:rPr>
          <w:tab/>
        </w:r>
        <w:r>
          <w:rPr>
            <w:noProof/>
            <w:webHidden/>
          </w:rPr>
          <w:fldChar w:fldCharType="begin"/>
        </w:r>
        <w:r>
          <w:rPr>
            <w:noProof/>
            <w:webHidden/>
          </w:rPr>
          <w:instrText xml:space="preserve"> PAGEREF _Toc239465078 \h </w:instrText>
        </w:r>
        <w:r>
          <w:rPr>
            <w:noProof/>
            <w:webHidden/>
          </w:rPr>
        </w:r>
        <w:r>
          <w:rPr>
            <w:noProof/>
            <w:webHidden/>
          </w:rPr>
          <w:fldChar w:fldCharType="separate"/>
        </w:r>
        <w:r>
          <w:rPr>
            <w:noProof/>
            <w:webHidden/>
          </w:rPr>
          <w:t>2</w:t>
        </w:r>
        <w:r>
          <w:rPr>
            <w:noProof/>
            <w:webHidden/>
          </w:rPr>
          <w:fldChar w:fldCharType="end"/>
        </w:r>
      </w:hyperlink>
    </w:p>
    <w:p w14:paraId="671D9E4F" w14:textId="0B8C9BD0" w:rsidR="00A12715" w:rsidRDefault="00A12715">
      <w:pPr>
        <w:pStyle w:val="TOC1"/>
        <w:tabs>
          <w:tab w:val="right" w:leader="dot" w:pos="10998"/>
        </w:tabs>
        <w:rPr>
          <w:noProof/>
        </w:rPr>
      </w:pPr>
      <w:hyperlink w:anchor="_Toc239465079" w:history="1">
        <w:r w:rsidRPr="000E7696">
          <w:rPr>
            <w:rStyle w:val="Hyperlink"/>
            <w:noProof/>
          </w:rPr>
          <w:t>0. Purpose, Scope and Relationship to Part 1</w:t>
        </w:r>
        <w:r>
          <w:rPr>
            <w:noProof/>
            <w:webHidden/>
          </w:rPr>
          <w:tab/>
        </w:r>
        <w:r>
          <w:rPr>
            <w:noProof/>
            <w:webHidden/>
          </w:rPr>
          <w:fldChar w:fldCharType="begin"/>
        </w:r>
        <w:r>
          <w:rPr>
            <w:noProof/>
            <w:webHidden/>
          </w:rPr>
          <w:instrText xml:space="preserve"> PAGEREF _Toc239465079 \h </w:instrText>
        </w:r>
        <w:r>
          <w:rPr>
            <w:noProof/>
            <w:webHidden/>
          </w:rPr>
        </w:r>
        <w:r>
          <w:rPr>
            <w:noProof/>
            <w:webHidden/>
          </w:rPr>
          <w:fldChar w:fldCharType="separate"/>
        </w:r>
        <w:r>
          <w:rPr>
            <w:noProof/>
            <w:webHidden/>
          </w:rPr>
          <w:t>3</w:t>
        </w:r>
        <w:r>
          <w:rPr>
            <w:noProof/>
            <w:webHidden/>
          </w:rPr>
          <w:fldChar w:fldCharType="end"/>
        </w:r>
      </w:hyperlink>
    </w:p>
    <w:p w14:paraId="764F30C3" w14:textId="0165ED63" w:rsidR="00A12715" w:rsidRDefault="00A12715">
      <w:pPr>
        <w:pStyle w:val="TOC1"/>
        <w:tabs>
          <w:tab w:val="right" w:leader="dot" w:pos="10998"/>
        </w:tabs>
        <w:rPr>
          <w:noProof/>
        </w:rPr>
      </w:pPr>
      <w:hyperlink w:anchor="_Toc239465080" w:history="1">
        <w:r w:rsidRPr="000E7696">
          <w:rPr>
            <w:rStyle w:val="Hyperlink"/>
            <w:noProof/>
          </w:rPr>
          <w:t>1. Heat Transport and Energy Balance</w:t>
        </w:r>
        <w:r>
          <w:rPr>
            <w:noProof/>
            <w:webHidden/>
          </w:rPr>
          <w:tab/>
        </w:r>
        <w:r>
          <w:rPr>
            <w:noProof/>
            <w:webHidden/>
          </w:rPr>
          <w:fldChar w:fldCharType="begin"/>
        </w:r>
        <w:r>
          <w:rPr>
            <w:noProof/>
            <w:webHidden/>
          </w:rPr>
          <w:instrText xml:space="preserve"> PAGEREF _Toc239465080 \h </w:instrText>
        </w:r>
        <w:r>
          <w:rPr>
            <w:noProof/>
            <w:webHidden/>
          </w:rPr>
        </w:r>
        <w:r>
          <w:rPr>
            <w:noProof/>
            <w:webHidden/>
          </w:rPr>
          <w:fldChar w:fldCharType="separate"/>
        </w:r>
        <w:r>
          <w:rPr>
            <w:noProof/>
            <w:webHidden/>
          </w:rPr>
          <w:t>3</w:t>
        </w:r>
        <w:r>
          <w:rPr>
            <w:noProof/>
            <w:webHidden/>
          </w:rPr>
          <w:fldChar w:fldCharType="end"/>
        </w:r>
      </w:hyperlink>
    </w:p>
    <w:p w14:paraId="570E908A" w14:textId="36AB3844" w:rsidR="00A12715" w:rsidRDefault="00A12715">
      <w:pPr>
        <w:pStyle w:val="TOC2"/>
        <w:tabs>
          <w:tab w:val="right" w:leader="dot" w:pos="10998"/>
        </w:tabs>
        <w:rPr>
          <w:noProof/>
        </w:rPr>
      </w:pPr>
      <w:hyperlink w:anchor="_Toc239465081" w:history="1">
        <w:r w:rsidRPr="000E7696">
          <w:rPr>
            <w:rStyle w:val="Hyperlink"/>
            <w:noProof/>
          </w:rPr>
          <w:t>1.1 Derivation</w:t>
        </w:r>
        <w:r>
          <w:rPr>
            <w:noProof/>
            <w:webHidden/>
          </w:rPr>
          <w:tab/>
        </w:r>
        <w:r>
          <w:rPr>
            <w:noProof/>
            <w:webHidden/>
          </w:rPr>
          <w:fldChar w:fldCharType="begin"/>
        </w:r>
        <w:r>
          <w:rPr>
            <w:noProof/>
            <w:webHidden/>
          </w:rPr>
          <w:instrText xml:space="preserve"> PAGEREF _Toc239465081 \h </w:instrText>
        </w:r>
        <w:r>
          <w:rPr>
            <w:noProof/>
            <w:webHidden/>
          </w:rPr>
        </w:r>
        <w:r>
          <w:rPr>
            <w:noProof/>
            <w:webHidden/>
          </w:rPr>
          <w:fldChar w:fldCharType="separate"/>
        </w:r>
        <w:r>
          <w:rPr>
            <w:noProof/>
            <w:webHidden/>
          </w:rPr>
          <w:t>3</w:t>
        </w:r>
        <w:r>
          <w:rPr>
            <w:noProof/>
            <w:webHidden/>
          </w:rPr>
          <w:fldChar w:fldCharType="end"/>
        </w:r>
      </w:hyperlink>
    </w:p>
    <w:p w14:paraId="64CBE6F5" w14:textId="7C2D6FDF" w:rsidR="00A12715" w:rsidRDefault="00A12715">
      <w:pPr>
        <w:pStyle w:val="TOC2"/>
        <w:tabs>
          <w:tab w:val="right" w:leader="dot" w:pos="10998"/>
        </w:tabs>
        <w:rPr>
          <w:noProof/>
        </w:rPr>
      </w:pPr>
      <w:hyperlink w:anchor="_Toc239465082" w:history="1">
        <w:r w:rsidRPr="000E7696">
          <w:rPr>
            <w:rStyle w:val="Hyperlink"/>
            <w:noProof/>
          </w:rPr>
          <w:t>1.2 Worked example</w:t>
        </w:r>
        <w:r>
          <w:rPr>
            <w:noProof/>
            <w:webHidden/>
          </w:rPr>
          <w:tab/>
        </w:r>
        <w:r>
          <w:rPr>
            <w:noProof/>
            <w:webHidden/>
          </w:rPr>
          <w:fldChar w:fldCharType="begin"/>
        </w:r>
        <w:r>
          <w:rPr>
            <w:noProof/>
            <w:webHidden/>
          </w:rPr>
          <w:instrText xml:space="preserve"> PAGEREF _Toc239465082 \h </w:instrText>
        </w:r>
        <w:r>
          <w:rPr>
            <w:noProof/>
            <w:webHidden/>
          </w:rPr>
        </w:r>
        <w:r>
          <w:rPr>
            <w:noProof/>
            <w:webHidden/>
          </w:rPr>
          <w:fldChar w:fldCharType="separate"/>
        </w:r>
        <w:r>
          <w:rPr>
            <w:noProof/>
            <w:webHidden/>
          </w:rPr>
          <w:t>4</w:t>
        </w:r>
        <w:r>
          <w:rPr>
            <w:noProof/>
            <w:webHidden/>
          </w:rPr>
          <w:fldChar w:fldCharType="end"/>
        </w:r>
      </w:hyperlink>
    </w:p>
    <w:p w14:paraId="7D682343" w14:textId="374E39F0" w:rsidR="00A12715" w:rsidRDefault="00A12715">
      <w:pPr>
        <w:pStyle w:val="TOC1"/>
        <w:tabs>
          <w:tab w:val="right" w:leader="dot" w:pos="10998"/>
        </w:tabs>
        <w:rPr>
          <w:noProof/>
        </w:rPr>
      </w:pPr>
      <w:hyperlink w:anchor="_Toc239465083" w:history="1">
        <w:r w:rsidRPr="000E7696">
          <w:rPr>
            <w:rStyle w:val="Hyperlink"/>
            <w:noProof/>
          </w:rPr>
          <w:t>2. Distribution Heat Losses</w:t>
        </w:r>
        <w:r>
          <w:rPr>
            <w:noProof/>
            <w:webHidden/>
          </w:rPr>
          <w:tab/>
        </w:r>
        <w:r>
          <w:rPr>
            <w:noProof/>
            <w:webHidden/>
          </w:rPr>
          <w:fldChar w:fldCharType="begin"/>
        </w:r>
        <w:r>
          <w:rPr>
            <w:noProof/>
            <w:webHidden/>
          </w:rPr>
          <w:instrText xml:space="preserve"> PAGEREF _Toc239465083 \h </w:instrText>
        </w:r>
        <w:r>
          <w:rPr>
            <w:noProof/>
            <w:webHidden/>
          </w:rPr>
        </w:r>
        <w:r>
          <w:rPr>
            <w:noProof/>
            <w:webHidden/>
          </w:rPr>
          <w:fldChar w:fldCharType="separate"/>
        </w:r>
        <w:r>
          <w:rPr>
            <w:noProof/>
            <w:webHidden/>
          </w:rPr>
          <w:t>5</w:t>
        </w:r>
        <w:r>
          <w:rPr>
            <w:noProof/>
            <w:webHidden/>
          </w:rPr>
          <w:fldChar w:fldCharType="end"/>
        </w:r>
      </w:hyperlink>
    </w:p>
    <w:p w14:paraId="1F1DAE83" w14:textId="6FBF7BA9" w:rsidR="00A12715" w:rsidRDefault="00A12715">
      <w:pPr>
        <w:pStyle w:val="TOC2"/>
        <w:tabs>
          <w:tab w:val="right" w:leader="dot" w:pos="10998"/>
        </w:tabs>
        <w:rPr>
          <w:noProof/>
        </w:rPr>
      </w:pPr>
      <w:hyperlink w:anchor="_Toc239465084" w:history="1">
        <w:r w:rsidRPr="000E7696">
          <w:rPr>
            <w:rStyle w:val="Hyperlink"/>
            <w:noProof/>
          </w:rPr>
          <w:t>2.1 Derivation</w:t>
        </w:r>
        <w:r>
          <w:rPr>
            <w:noProof/>
            <w:webHidden/>
          </w:rPr>
          <w:tab/>
        </w:r>
        <w:r>
          <w:rPr>
            <w:noProof/>
            <w:webHidden/>
          </w:rPr>
          <w:fldChar w:fldCharType="begin"/>
        </w:r>
        <w:r>
          <w:rPr>
            <w:noProof/>
            <w:webHidden/>
          </w:rPr>
          <w:instrText xml:space="preserve"> PAGEREF _Toc239465084 \h </w:instrText>
        </w:r>
        <w:r>
          <w:rPr>
            <w:noProof/>
            <w:webHidden/>
          </w:rPr>
        </w:r>
        <w:r>
          <w:rPr>
            <w:noProof/>
            <w:webHidden/>
          </w:rPr>
          <w:fldChar w:fldCharType="separate"/>
        </w:r>
        <w:r>
          <w:rPr>
            <w:noProof/>
            <w:webHidden/>
          </w:rPr>
          <w:t>5</w:t>
        </w:r>
        <w:r>
          <w:rPr>
            <w:noProof/>
            <w:webHidden/>
          </w:rPr>
          <w:fldChar w:fldCharType="end"/>
        </w:r>
      </w:hyperlink>
    </w:p>
    <w:p w14:paraId="50BCA417" w14:textId="04276BC5" w:rsidR="00A12715" w:rsidRDefault="00A12715">
      <w:pPr>
        <w:pStyle w:val="TOC2"/>
        <w:tabs>
          <w:tab w:val="right" w:leader="dot" w:pos="10998"/>
        </w:tabs>
        <w:rPr>
          <w:noProof/>
        </w:rPr>
      </w:pPr>
      <w:hyperlink w:anchor="_Toc239465085" w:history="1">
        <w:r w:rsidRPr="000E7696">
          <w:rPr>
            <w:rStyle w:val="Hyperlink"/>
            <w:noProof/>
          </w:rPr>
          <w:t>2.2 Worked example: distribution loss by generation</w:t>
        </w:r>
        <w:r>
          <w:rPr>
            <w:noProof/>
            <w:webHidden/>
          </w:rPr>
          <w:tab/>
        </w:r>
        <w:r>
          <w:rPr>
            <w:noProof/>
            <w:webHidden/>
          </w:rPr>
          <w:fldChar w:fldCharType="begin"/>
        </w:r>
        <w:r>
          <w:rPr>
            <w:noProof/>
            <w:webHidden/>
          </w:rPr>
          <w:instrText xml:space="preserve"> PAGEREF _Toc239465085 \h </w:instrText>
        </w:r>
        <w:r>
          <w:rPr>
            <w:noProof/>
            <w:webHidden/>
          </w:rPr>
        </w:r>
        <w:r>
          <w:rPr>
            <w:noProof/>
            <w:webHidden/>
          </w:rPr>
          <w:fldChar w:fldCharType="separate"/>
        </w:r>
        <w:r>
          <w:rPr>
            <w:noProof/>
            <w:webHidden/>
          </w:rPr>
          <w:t>6</w:t>
        </w:r>
        <w:r>
          <w:rPr>
            <w:noProof/>
            <w:webHidden/>
          </w:rPr>
          <w:fldChar w:fldCharType="end"/>
        </w:r>
      </w:hyperlink>
    </w:p>
    <w:p w14:paraId="6FEFF1A6" w14:textId="702C0B66" w:rsidR="00A12715" w:rsidRDefault="00A12715">
      <w:pPr>
        <w:pStyle w:val="TOC1"/>
        <w:tabs>
          <w:tab w:val="right" w:leader="dot" w:pos="10998"/>
        </w:tabs>
        <w:rPr>
          <w:noProof/>
        </w:rPr>
      </w:pPr>
      <w:hyperlink w:anchor="_Toc239465086" w:history="1">
        <w:r w:rsidRPr="000E7696">
          <w:rPr>
            <w:rStyle w:val="Hyperlink"/>
            <w:noProof/>
          </w:rPr>
          <w:t>3. Heat-Pump Performance: Carnot and Real COP</w:t>
        </w:r>
        <w:r>
          <w:rPr>
            <w:noProof/>
            <w:webHidden/>
          </w:rPr>
          <w:tab/>
        </w:r>
        <w:r>
          <w:rPr>
            <w:noProof/>
            <w:webHidden/>
          </w:rPr>
          <w:fldChar w:fldCharType="begin"/>
        </w:r>
        <w:r>
          <w:rPr>
            <w:noProof/>
            <w:webHidden/>
          </w:rPr>
          <w:instrText xml:space="preserve"> PAGEREF _Toc239465086 \h </w:instrText>
        </w:r>
        <w:r>
          <w:rPr>
            <w:noProof/>
            <w:webHidden/>
          </w:rPr>
        </w:r>
        <w:r>
          <w:rPr>
            <w:noProof/>
            <w:webHidden/>
          </w:rPr>
          <w:fldChar w:fldCharType="separate"/>
        </w:r>
        <w:r>
          <w:rPr>
            <w:noProof/>
            <w:webHidden/>
          </w:rPr>
          <w:t>7</w:t>
        </w:r>
        <w:r>
          <w:rPr>
            <w:noProof/>
            <w:webHidden/>
          </w:rPr>
          <w:fldChar w:fldCharType="end"/>
        </w:r>
      </w:hyperlink>
    </w:p>
    <w:p w14:paraId="631671B3" w14:textId="6FB68273" w:rsidR="00A12715" w:rsidRDefault="00A12715">
      <w:pPr>
        <w:pStyle w:val="TOC2"/>
        <w:tabs>
          <w:tab w:val="right" w:leader="dot" w:pos="10998"/>
        </w:tabs>
        <w:rPr>
          <w:noProof/>
        </w:rPr>
      </w:pPr>
      <w:hyperlink w:anchor="_Toc239465087" w:history="1">
        <w:r w:rsidRPr="000E7696">
          <w:rPr>
            <w:rStyle w:val="Hyperlink"/>
            <w:noProof/>
          </w:rPr>
          <w:t>3.1 Derivation</w:t>
        </w:r>
        <w:r>
          <w:rPr>
            <w:noProof/>
            <w:webHidden/>
          </w:rPr>
          <w:tab/>
        </w:r>
        <w:r>
          <w:rPr>
            <w:noProof/>
            <w:webHidden/>
          </w:rPr>
          <w:fldChar w:fldCharType="begin"/>
        </w:r>
        <w:r>
          <w:rPr>
            <w:noProof/>
            <w:webHidden/>
          </w:rPr>
          <w:instrText xml:space="preserve"> PAGEREF _Toc239465087 \h </w:instrText>
        </w:r>
        <w:r>
          <w:rPr>
            <w:noProof/>
            <w:webHidden/>
          </w:rPr>
        </w:r>
        <w:r>
          <w:rPr>
            <w:noProof/>
            <w:webHidden/>
          </w:rPr>
          <w:fldChar w:fldCharType="separate"/>
        </w:r>
        <w:r>
          <w:rPr>
            <w:noProof/>
            <w:webHidden/>
          </w:rPr>
          <w:t>7</w:t>
        </w:r>
        <w:r>
          <w:rPr>
            <w:noProof/>
            <w:webHidden/>
          </w:rPr>
          <w:fldChar w:fldCharType="end"/>
        </w:r>
      </w:hyperlink>
    </w:p>
    <w:p w14:paraId="6F14DEBB" w14:textId="625BA531" w:rsidR="00A12715" w:rsidRDefault="00A12715">
      <w:pPr>
        <w:pStyle w:val="TOC2"/>
        <w:tabs>
          <w:tab w:val="right" w:leader="dot" w:pos="10998"/>
        </w:tabs>
        <w:rPr>
          <w:noProof/>
        </w:rPr>
      </w:pPr>
      <w:hyperlink w:anchor="_Toc239465088" w:history="1">
        <w:r w:rsidRPr="000E7696">
          <w:rPr>
            <w:rStyle w:val="Hyperlink"/>
            <w:noProof/>
          </w:rPr>
          <w:t>3.2 Worked example</w:t>
        </w:r>
        <w:r>
          <w:rPr>
            <w:noProof/>
            <w:webHidden/>
          </w:rPr>
          <w:tab/>
        </w:r>
        <w:r>
          <w:rPr>
            <w:noProof/>
            <w:webHidden/>
          </w:rPr>
          <w:fldChar w:fldCharType="begin"/>
        </w:r>
        <w:r>
          <w:rPr>
            <w:noProof/>
            <w:webHidden/>
          </w:rPr>
          <w:instrText xml:space="preserve"> PAGEREF _Toc239465088 \h </w:instrText>
        </w:r>
        <w:r>
          <w:rPr>
            <w:noProof/>
            <w:webHidden/>
          </w:rPr>
        </w:r>
        <w:r>
          <w:rPr>
            <w:noProof/>
            <w:webHidden/>
          </w:rPr>
          <w:fldChar w:fldCharType="separate"/>
        </w:r>
        <w:r>
          <w:rPr>
            <w:noProof/>
            <w:webHidden/>
          </w:rPr>
          <w:t>8</w:t>
        </w:r>
        <w:r>
          <w:rPr>
            <w:noProof/>
            <w:webHidden/>
          </w:rPr>
          <w:fldChar w:fldCharType="end"/>
        </w:r>
      </w:hyperlink>
    </w:p>
    <w:p w14:paraId="0EB18BB2" w14:textId="729FF00B" w:rsidR="00A12715" w:rsidRDefault="00A12715">
      <w:pPr>
        <w:pStyle w:val="TOC1"/>
        <w:tabs>
          <w:tab w:val="right" w:leader="dot" w:pos="10998"/>
        </w:tabs>
        <w:rPr>
          <w:noProof/>
        </w:rPr>
      </w:pPr>
      <w:hyperlink w:anchor="_Toc239465089" w:history="1">
        <w:r w:rsidRPr="000E7696">
          <w:rPr>
            <w:rStyle w:val="Hyperlink"/>
            <w:noProof/>
          </w:rPr>
          <w:t>4. Exergy: Quantifying “Low-Grade” Heat</w:t>
        </w:r>
        <w:r>
          <w:rPr>
            <w:noProof/>
            <w:webHidden/>
          </w:rPr>
          <w:tab/>
        </w:r>
        <w:r>
          <w:rPr>
            <w:noProof/>
            <w:webHidden/>
          </w:rPr>
          <w:fldChar w:fldCharType="begin"/>
        </w:r>
        <w:r>
          <w:rPr>
            <w:noProof/>
            <w:webHidden/>
          </w:rPr>
          <w:instrText xml:space="preserve"> PAGEREF _Toc239465089 \h </w:instrText>
        </w:r>
        <w:r>
          <w:rPr>
            <w:noProof/>
            <w:webHidden/>
          </w:rPr>
        </w:r>
        <w:r>
          <w:rPr>
            <w:noProof/>
            <w:webHidden/>
          </w:rPr>
          <w:fldChar w:fldCharType="separate"/>
        </w:r>
        <w:r>
          <w:rPr>
            <w:noProof/>
            <w:webHidden/>
          </w:rPr>
          <w:t>9</w:t>
        </w:r>
        <w:r>
          <w:rPr>
            <w:noProof/>
            <w:webHidden/>
          </w:rPr>
          <w:fldChar w:fldCharType="end"/>
        </w:r>
      </w:hyperlink>
    </w:p>
    <w:p w14:paraId="4C48E462" w14:textId="3E8C42C2" w:rsidR="00A12715" w:rsidRDefault="00A12715">
      <w:pPr>
        <w:pStyle w:val="TOC2"/>
        <w:tabs>
          <w:tab w:val="right" w:leader="dot" w:pos="10998"/>
        </w:tabs>
        <w:rPr>
          <w:noProof/>
        </w:rPr>
      </w:pPr>
      <w:hyperlink w:anchor="_Toc239465090" w:history="1">
        <w:r w:rsidRPr="000E7696">
          <w:rPr>
            <w:rStyle w:val="Hyperlink"/>
            <w:noProof/>
          </w:rPr>
          <w:t>4.1 Derivation</w:t>
        </w:r>
        <w:r>
          <w:rPr>
            <w:noProof/>
            <w:webHidden/>
          </w:rPr>
          <w:tab/>
        </w:r>
        <w:r>
          <w:rPr>
            <w:noProof/>
            <w:webHidden/>
          </w:rPr>
          <w:fldChar w:fldCharType="begin"/>
        </w:r>
        <w:r>
          <w:rPr>
            <w:noProof/>
            <w:webHidden/>
          </w:rPr>
          <w:instrText xml:space="preserve"> PAGEREF _Toc239465090 \h </w:instrText>
        </w:r>
        <w:r>
          <w:rPr>
            <w:noProof/>
            <w:webHidden/>
          </w:rPr>
        </w:r>
        <w:r>
          <w:rPr>
            <w:noProof/>
            <w:webHidden/>
          </w:rPr>
          <w:fldChar w:fldCharType="separate"/>
        </w:r>
        <w:r>
          <w:rPr>
            <w:noProof/>
            <w:webHidden/>
          </w:rPr>
          <w:t>9</w:t>
        </w:r>
        <w:r>
          <w:rPr>
            <w:noProof/>
            <w:webHidden/>
          </w:rPr>
          <w:fldChar w:fldCharType="end"/>
        </w:r>
      </w:hyperlink>
    </w:p>
    <w:p w14:paraId="236E70B3" w14:textId="1A6075A6" w:rsidR="00A12715" w:rsidRDefault="00A12715">
      <w:pPr>
        <w:pStyle w:val="TOC2"/>
        <w:tabs>
          <w:tab w:val="right" w:leader="dot" w:pos="10998"/>
        </w:tabs>
        <w:rPr>
          <w:noProof/>
        </w:rPr>
      </w:pPr>
      <w:hyperlink w:anchor="_Toc239465091" w:history="1">
        <w:r w:rsidRPr="000E7696">
          <w:rPr>
            <w:rStyle w:val="Hyperlink"/>
            <w:noProof/>
          </w:rPr>
          <w:t>4.2 Worked example</w:t>
        </w:r>
        <w:r>
          <w:rPr>
            <w:noProof/>
            <w:webHidden/>
          </w:rPr>
          <w:tab/>
        </w:r>
        <w:r>
          <w:rPr>
            <w:noProof/>
            <w:webHidden/>
          </w:rPr>
          <w:fldChar w:fldCharType="begin"/>
        </w:r>
        <w:r>
          <w:rPr>
            <w:noProof/>
            <w:webHidden/>
          </w:rPr>
          <w:instrText xml:space="preserve"> PAGEREF _Toc239465091 \h </w:instrText>
        </w:r>
        <w:r>
          <w:rPr>
            <w:noProof/>
            <w:webHidden/>
          </w:rPr>
        </w:r>
        <w:r>
          <w:rPr>
            <w:noProof/>
            <w:webHidden/>
          </w:rPr>
          <w:fldChar w:fldCharType="separate"/>
        </w:r>
        <w:r>
          <w:rPr>
            <w:noProof/>
            <w:webHidden/>
          </w:rPr>
          <w:t>9</w:t>
        </w:r>
        <w:r>
          <w:rPr>
            <w:noProof/>
            <w:webHidden/>
          </w:rPr>
          <w:fldChar w:fldCharType="end"/>
        </w:r>
      </w:hyperlink>
    </w:p>
    <w:p w14:paraId="5EE6487C" w14:textId="47719845" w:rsidR="00A12715" w:rsidRDefault="00A12715">
      <w:pPr>
        <w:pStyle w:val="TOC1"/>
        <w:tabs>
          <w:tab w:val="right" w:leader="dot" w:pos="10998"/>
        </w:tabs>
        <w:rPr>
          <w:noProof/>
        </w:rPr>
      </w:pPr>
      <w:hyperlink w:anchor="_Toc239465092" w:history="1">
        <w:r w:rsidRPr="000E7696">
          <w:rPr>
            <w:rStyle w:val="Hyperlink"/>
            <w:noProof/>
          </w:rPr>
          <w:t>5. Hydraulic Losses and the Physical Basis for Meshing</w:t>
        </w:r>
        <w:r>
          <w:rPr>
            <w:noProof/>
            <w:webHidden/>
          </w:rPr>
          <w:tab/>
        </w:r>
        <w:r>
          <w:rPr>
            <w:noProof/>
            <w:webHidden/>
          </w:rPr>
          <w:fldChar w:fldCharType="begin"/>
        </w:r>
        <w:r>
          <w:rPr>
            <w:noProof/>
            <w:webHidden/>
          </w:rPr>
          <w:instrText xml:space="preserve"> PAGEREF _Toc239465092 \h </w:instrText>
        </w:r>
        <w:r>
          <w:rPr>
            <w:noProof/>
            <w:webHidden/>
          </w:rPr>
        </w:r>
        <w:r>
          <w:rPr>
            <w:noProof/>
            <w:webHidden/>
          </w:rPr>
          <w:fldChar w:fldCharType="separate"/>
        </w:r>
        <w:r>
          <w:rPr>
            <w:noProof/>
            <w:webHidden/>
          </w:rPr>
          <w:t>10</w:t>
        </w:r>
        <w:r>
          <w:rPr>
            <w:noProof/>
            <w:webHidden/>
          </w:rPr>
          <w:fldChar w:fldCharType="end"/>
        </w:r>
      </w:hyperlink>
    </w:p>
    <w:p w14:paraId="4377A57F" w14:textId="41A2E3BA" w:rsidR="00A12715" w:rsidRDefault="00A12715">
      <w:pPr>
        <w:pStyle w:val="TOC2"/>
        <w:tabs>
          <w:tab w:val="right" w:leader="dot" w:pos="10998"/>
        </w:tabs>
        <w:rPr>
          <w:noProof/>
        </w:rPr>
      </w:pPr>
      <w:hyperlink w:anchor="_Toc239465093" w:history="1">
        <w:r w:rsidRPr="000E7696">
          <w:rPr>
            <w:rStyle w:val="Hyperlink"/>
            <w:noProof/>
          </w:rPr>
          <w:t>5.1 Derivation</w:t>
        </w:r>
        <w:r>
          <w:rPr>
            <w:noProof/>
            <w:webHidden/>
          </w:rPr>
          <w:tab/>
        </w:r>
        <w:r>
          <w:rPr>
            <w:noProof/>
            <w:webHidden/>
          </w:rPr>
          <w:fldChar w:fldCharType="begin"/>
        </w:r>
        <w:r>
          <w:rPr>
            <w:noProof/>
            <w:webHidden/>
          </w:rPr>
          <w:instrText xml:space="preserve"> PAGEREF _Toc239465093 \h </w:instrText>
        </w:r>
        <w:r>
          <w:rPr>
            <w:noProof/>
            <w:webHidden/>
          </w:rPr>
        </w:r>
        <w:r>
          <w:rPr>
            <w:noProof/>
            <w:webHidden/>
          </w:rPr>
          <w:fldChar w:fldCharType="separate"/>
        </w:r>
        <w:r>
          <w:rPr>
            <w:noProof/>
            <w:webHidden/>
          </w:rPr>
          <w:t>10</w:t>
        </w:r>
        <w:r>
          <w:rPr>
            <w:noProof/>
            <w:webHidden/>
          </w:rPr>
          <w:fldChar w:fldCharType="end"/>
        </w:r>
      </w:hyperlink>
    </w:p>
    <w:p w14:paraId="6014DAEB" w14:textId="2C297A32" w:rsidR="00A12715" w:rsidRDefault="00A12715">
      <w:pPr>
        <w:pStyle w:val="TOC2"/>
        <w:tabs>
          <w:tab w:val="right" w:leader="dot" w:pos="10998"/>
        </w:tabs>
        <w:rPr>
          <w:noProof/>
        </w:rPr>
      </w:pPr>
      <w:hyperlink w:anchor="_Toc239465094" w:history="1">
        <w:r w:rsidRPr="000E7696">
          <w:rPr>
            <w:rStyle w:val="Hyperlink"/>
            <w:noProof/>
          </w:rPr>
          <w:t>5.2 Worked example: single path vs. meshed</w:t>
        </w:r>
        <w:r>
          <w:rPr>
            <w:noProof/>
            <w:webHidden/>
          </w:rPr>
          <w:tab/>
        </w:r>
        <w:r>
          <w:rPr>
            <w:noProof/>
            <w:webHidden/>
          </w:rPr>
          <w:fldChar w:fldCharType="begin"/>
        </w:r>
        <w:r>
          <w:rPr>
            <w:noProof/>
            <w:webHidden/>
          </w:rPr>
          <w:instrText xml:space="preserve"> PAGEREF _Toc239465094 \h </w:instrText>
        </w:r>
        <w:r>
          <w:rPr>
            <w:noProof/>
            <w:webHidden/>
          </w:rPr>
        </w:r>
        <w:r>
          <w:rPr>
            <w:noProof/>
            <w:webHidden/>
          </w:rPr>
          <w:fldChar w:fldCharType="separate"/>
        </w:r>
        <w:r>
          <w:rPr>
            <w:noProof/>
            <w:webHidden/>
          </w:rPr>
          <w:t>10</w:t>
        </w:r>
        <w:r>
          <w:rPr>
            <w:noProof/>
            <w:webHidden/>
          </w:rPr>
          <w:fldChar w:fldCharType="end"/>
        </w:r>
      </w:hyperlink>
    </w:p>
    <w:p w14:paraId="1B1F44C9" w14:textId="4806FB54" w:rsidR="00A12715" w:rsidRDefault="00A12715">
      <w:pPr>
        <w:pStyle w:val="TOC1"/>
        <w:tabs>
          <w:tab w:val="right" w:leader="dot" w:pos="10998"/>
        </w:tabs>
        <w:rPr>
          <w:noProof/>
        </w:rPr>
      </w:pPr>
      <w:hyperlink w:anchor="_Toc239465095" w:history="1">
        <w:r w:rsidRPr="000E7696">
          <w:rPr>
            <w:rStyle w:val="Hyperlink"/>
            <w:noProof/>
          </w:rPr>
          <w:t>6. Synthesis</w:t>
        </w:r>
        <w:r>
          <w:rPr>
            <w:noProof/>
            <w:webHidden/>
          </w:rPr>
          <w:tab/>
        </w:r>
        <w:r>
          <w:rPr>
            <w:noProof/>
            <w:webHidden/>
          </w:rPr>
          <w:fldChar w:fldCharType="begin"/>
        </w:r>
        <w:r>
          <w:rPr>
            <w:noProof/>
            <w:webHidden/>
          </w:rPr>
          <w:instrText xml:space="preserve"> PAGEREF _Toc239465095 \h </w:instrText>
        </w:r>
        <w:r>
          <w:rPr>
            <w:noProof/>
            <w:webHidden/>
          </w:rPr>
        </w:r>
        <w:r>
          <w:rPr>
            <w:noProof/>
            <w:webHidden/>
          </w:rPr>
          <w:fldChar w:fldCharType="separate"/>
        </w:r>
        <w:r>
          <w:rPr>
            <w:noProof/>
            <w:webHidden/>
          </w:rPr>
          <w:t>12</w:t>
        </w:r>
        <w:r>
          <w:rPr>
            <w:noProof/>
            <w:webHidden/>
          </w:rPr>
          <w:fldChar w:fldCharType="end"/>
        </w:r>
      </w:hyperlink>
    </w:p>
    <w:p w14:paraId="199E9D93" w14:textId="341E3398" w:rsidR="00A12715" w:rsidRDefault="00A12715">
      <w:pPr>
        <w:pStyle w:val="TOC1"/>
        <w:tabs>
          <w:tab w:val="right" w:leader="dot" w:pos="10998"/>
        </w:tabs>
        <w:rPr>
          <w:noProof/>
        </w:rPr>
      </w:pPr>
      <w:hyperlink w:anchor="_Toc239465096" w:history="1">
        <w:r w:rsidRPr="000E7696">
          <w:rPr>
            <w:rStyle w:val="Hyperlink"/>
            <w:noProof/>
          </w:rPr>
          <w:t>Conclusion</w:t>
        </w:r>
        <w:r>
          <w:rPr>
            <w:noProof/>
            <w:webHidden/>
          </w:rPr>
          <w:tab/>
        </w:r>
        <w:r>
          <w:rPr>
            <w:noProof/>
            <w:webHidden/>
          </w:rPr>
          <w:fldChar w:fldCharType="begin"/>
        </w:r>
        <w:r>
          <w:rPr>
            <w:noProof/>
            <w:webHidden/>
          </w:rPr>
          <w:instrText xml:space="preserve"> PAGEREF _Toc239465096 \h </w:instrText>
        </w:r>
        <w:r>
          <w:rPr>
            <w:noProof/>
            <w:webHidden/>
          </w:rPr>
        </w:r>
        <w:r>
          <w:rPr>
            <w:noProof/>
            <w:webHidden/>
          </w:rPr>
          <w:fldChar w:fldCharType="separate"/>
        </w:r>
        <w:r>
          <w:rPr>
            <w:noProof/>
            <w:webHidden/>
          </w:rPr>
          <w:t>12</w:t>
        </w:r>
        <w:r>
          <w:rPr>
            <w:noProof/>
            <w:webHidden/>
          </w:rPr>
          <w:fldChar w:fldCharType="end"/>
        </w:r>
      </w:hyperlink>
    </w:p>
    <w:p w14:paraId="750FDFF9" w14:textId="02AE76DF" w:rsidR="00A12715" w:rsidRDefault="00A12715">
      <w:pPr>
        <w:pStyle w:val="TOC1"/>
        <w:tabs>
          <w:tab w:val="right" w:leader="dot" w:pos="10998"/>
        </w:tabs>
        <w:rPr>
          <w:noProof/>
        </w:rPr>
      </w:pPr>
      <w:hyperlink w:anchor="_Toc239465097" w:history="1">
        <w:r w:rsidRPr="000E7696">
          <w:rPr>
            <w:rStyle w:val="Hyperlink"/>
            <w:noProof/>
          </w:rPr>
          <w:t>Annex A — References</w:t>
        </w:r>
        <w:r>
          <w:rPr>
            <w:noProof/>
            <w:webHidden/>
          </w:rPr>
          <w:tab/>
        </w:r>
        <w:r>
          <w:rPr>
            <w:noProof/>
            <w:webHidden/>
          </w:rPr>
          <w:fldChar w:fldCharType="begin"/>
        </w:r>
        <w:r>
          <w:rPr>
            <w:noProof/>
            <w:webHidden/>
          </w:rPr>
          <w:instrText xml:space="preserve"> PAGEREF _Toc239465097 \h </w:instrText>
        </w:r>
        <w:r>
          <w:rPr>
            <w:noProof/>
            <w:webHidden/>
          </w:rPr>
        </w:r>
        <w:r>
          <w:rPr>
            <w:noProof/>
            <w:webHidden/>
          </w:rPr>
          <w:fldChar w:fldCharType="separate"/>
        </w:r>
        <w:r>
          <w:rPr>
            <w:noProof/>
            <w:webHidden/>
          </w:rPr>
          <w:t>13</w:t>
        </w:r>
        <w:r>
          <w:rPr>
            <w:noProof/>
            <w:webHidden/>
          </w:rPr>
          <w:fldChar w:fldCharType="end"/>
        </w:r>
      </w:hyperlink>
    </w:p>
    <w:p w14:paraId="7D104FE9" w14:textId="43ACAD42" w:rsidR="00A12715" w:rsidRDefault="00A12715">
      <w:pPr>
        <w:pStyle w:val="TOC1"/>
        <w:tabs>
          <w:tab w:val="right" w:leader="dot" w:pos="10998"/>
        </w:tabs>
        <w:rPr>
          <w:noProof/>
        </w:rPr>
      </w:pPr>
      <w:hyperlink w:anchor="_Toc239465098" w:history="1">
        <w:r w:rsidRPr="000E7696">
          <w:rPr>
            <w:rStyle w:val="Hyperlink"/>
            <w:noProof/>
          </w:rPr>
          <w:t>Annex B — Acronyms and Symbols</w:t>
        </w:r>
        <w:r>
          <w:rPr>
            <w:noProof/>
            <w:webHidden/>
          </w:rPr>
          <w:tab/>
        </w:r>
        <w:r>
          <w:rPr>
            <w:noProof/>
            <w:webHidden/>
          </w:rPr>
          <w:fldChar w:fldCharType="begin"/>
        </w:r>
        <w:r>
          <w:rPr>
            <w:noProof/>
            <w:webHidden/>
          </w:rPr>
          <w:instrText xml:space="preserve"> PAGEREF _Toc239465098 \h </w:instrText>
        </w:r>
        <w:r>
          <w:rPr>
            <w:noProof/>
            <w:webHidden/>
          </w:rPr>
        </w:r>
        <w:r>
          <w:rPr>
            <w:noProof/>
            <w:webHidden/>
          </w:rPr>
          <w:fldChar w:fldCharType="separate"/>
        </w:r>
        <w:r>
          <w:rPr>
            <w:noProof/>
            <w:webHidden/>
          </w:rPr>
          <w:t>14</w:t>
        </w:r>
        <w:r>
          <w:rPr>
            <w:noProof/>
            <w:webHidden/>
          </w:rPr>
          <w:fldChar w:fldCharType="end"/>
        </w:r>
      </w:hyperlink>
    </w:p>
    <w:p w14:paraId="75D6929B" w14:textId="05C38AD7" w:rsidR="00A12715" w:rsidRDefault="00A12715">
      <w:pPr>
        <w:pStyle w:val="TOC1"/>
        <w:tabs>
          <w:tab w:val="right" w:leader="dot" w:pos="10998"/>
        </w:tabs>
        <w:rPr>
          <w:noProof/>
        </w:rPr>
      </w:pPr>
      <w:hyperlink w:anchor="_Toc239465099" w:history="1">
        <w:r w:rsidRPr="000E7696">
          <w:rPr>
            <w:rStyle w:val="Hyperlink"/>
            <w:noProof/>
          </w:rPr>
          <w:t>Index</w:t>
        </w:r>
        <w:r>
          <w:rPr>
            <w:noProof/>
            <w:webHidden/>
          </w:rPr>
          <w:tab/>
        </w:r>
        <w:r>
          <w:rPr>
            <w:noProof/>
            <w:webHidden/>
          </w:rPr>
          <w:fldChar w:fldCharType="begin"/>
        </w:r>
        <w:r>
          <w:rPr>
            <w:noProof/>
            <w:webHidden/>
          </w:rPr>
          <w:instrText xml:space="preserve"> PAGEREF _Toc239465099 \h </w:instrText>
        </w:r>
        <w:r>
          <w:rPr>
            <w:noProof/>
            <w:webHidden/>
          </w:rPr>
        </w:r>
        <w:r>
          <w:rPr>
            <w:noProof/>
            <w:webHidden/>
          </w:rPr>
          <w:fldChar w:fldCharType="separate"/>
        </w:r>
        <w:r>
          <w:rPr>
            <w:noProof/>
            <w:webHidden/>
          </w:rPr>
          <w:t>15</w:t>
        </w:r>
        <w:r>
          <w:rPr>
            <w:noProof/>
            <w:webHidden/>
          </w:rPr>
          <w:fldChar w:fldCharType="end"/>
        </w:r>
      </w:hyperlink>
    </w:p>
    <w:p w14:paraId="7F94B6C9" w14:textId="43C332FA" w:rsidR="003A0575" w:rsidRDefault="00A12715" w:rsidP="00A12715">
      <w:pPr>
        <w:tabs>
          <w:tab w:val="right" w:leader="dot" w:pos="9350"/>
        </w:tabs>
        <w:spacing w:after="90"/>
      </w:pPr>
      <w:r>
        <w:rPr>
          <w:b/>
          <w:bCs/>
        </w:rPr>
        <w:fldChar w:fldCharType="end"/>
      </w:r>
    </w:p>
    <w:sectPr w:rsidR="003A0575" w:rsidSect="004E2A6A">
      <w:headerReference w:type="default" r:id="rId33"/>
      <w:footerReference w:type="default" r:id="rId34"/>
      <w:pgSz w:w="11906" w:h="16838"/>
      <w:pgMar w:top="990" w:right="449" w:bottom="720" w:left="449" w:header="440" w:footer="3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36D570" w14:textId="77777777" w:rsidR="00860714" w:rsidRDefault="00860714">
      <w:r>
        <w:separator/>
      </w:r>
    </w:p>
  </w:endnote>
  <w:endnote w:type="continuationSeparator" w:id="0">
    <w:p w14:paraId="7569EAC1" w14:textId="77777777" w:rsidR="00860714" w:rsidRDefault="0086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1C2B7" w14:textId="47FEA691" w:rsidR="003A0575" w:rsidRDefault="00000000">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4E2A6A">
      <w:rPr>
        <w:noProof/>
        <w:color w:val="666666"/>
        <w:sz w:val="16"/>
        <w:szCs w:val="16"/>
      </w:rPr>
      <w:t>3</w:t>
    </w:r>
    <w:r>
      <w:rPr>
        <w:color w:val="666666"/>
        <w:sz w:val="16"/>
        <w:szCs w:val="16"/>
      </w:rPr>
      <w:fldChar w:fldCharType="end"/>
    </w:r>
    <w:r>
      <w:rPr>
        <w:color w:val="666666"/>
        <w:sz w:val="16"/>
        <w:szCs w:val="16"/>
      </w:rPr>
      <w:t xml:space="preserve"> / </w:t>
    </w:r>
    <w:r>
      <w:rPr>
        <w:color w:val="666666"/>
        <w:sz w:val="16"/>
        <w:szCs w:val="16"/>
      </w:rPr>
      <w:fldChar w:fldCharType="begin"/>
    </w:r>
    <w:r>
      <w:rPr>
        <w:color w:val="666666"/>
        <w:sz w:val="16"/>
        <w:szCs w:val="16"/>
      </w:rPr>
      <w:instrText>NUMPAGES</w:instrText>
    </w:r>
    <w:r>
      <w:rPr>
        <w:color w:val="666666"/>
        <w:sz w:val="16"/>
        <w:szCs w:val="16"/>
      </w:rPr>
      <w:fldChar w:fldCharType="separate"/>
    </w:r>
    <w:r w:rsidR="004E2A6A">
      <w:rPr>
        <w:noProof/>
        <w:color w:val="666666"/>
        <w:sz w:val="16"/>
        <w:szCs w:val="16"/>
      </w:rPr>
      <w:t>4</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F40A1E" w14:textId="77777777" w:rsidR="00860714" w:rsidRDefault="00860714">
      <w:r>
        <w:separator/>
      </w:r>
    </w:p>
  </w:footnote>
  <w:footnote w:type="continuationSeparator" w:id="0">
    <w:p w14:paraId="704D58C9" w14:textId="77777777" w:rsidR="00860714" w:rsidRDefault="00860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56743" w14:textId="374A0CBD" w:rsidR="003A0575" w:rsidRDefault="00000000" w:rsidP="004E2A6A">
    <w:pPr>
      <w:pBdr>
        <w:bottom w:val="single" w:sz="4" w:space="4" w:color="999999"/>
      </w:pBdr>
      <w:spacing w:after="60"/>
      <w:jc w:val="right"/>
    </w:pPr>
    <w:r>
      <w:rPr>
        <w:i/>
        <w:iCs/>
        <w:color w:val="666666"/>
        <w:sz w:val="15"/>
        <w:szCs w:val="15"/>
      </w:rPr>
      <w:t>DH Thermodynamics &amp; Hydraulics — Technical Companion (Part 2) · F</w:t>
    </w:r>
    <w:r w:rsidR="004E2A6A">
      <w:rPr>
        <w:i/>
        <w:iCs/>
        <w:color w:val="666666"/>
        <w:sz w:val="15"/>
        <w:szCs w:val="15"/>
      </w:rPr>
      <w:t>.</w:t>
    </w:r>
    <w:r>
      <w:rPr>
        <w:i/>
        <w:iCs/>
        <w:color w:val="666666"/>
        <w:sz w:val="15"/>
        <w:szCs w:val="15"/>
      </w:rPr>
      <w:t xml:space="preserve"> Dorléans · UC-DHC-THERMO-EN-2026 · Rev. 2-C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D4216"/>
    <w:multiLevelType w:val="hybridMultilevel"/>
    <w:tmpl w:val="15FE2998"/>
    <w:lvl w:ilvl="0" w:tplc="16C25B70">
      <w:start w:val="1"/>
      <w:numFmt w:val="bullet"/>
      <w:lvlText w:val="•"/>
      <w:lvlJc w:val="left"/>
      <w:pPr>
        <w:ind w:left="420" w:hanging="260"/>
      </w:pPr>
    </w:lvl>
    <w:lvl w:ilvl="1" w:tplc="4852F5A4">
      <w:numFmt w:val="decimal"/>
      <w:lvlText w:val=""/>
      <w:lvlJc w:val="left"/>
    </w:lvl>
    <w:lvl w:ilvl="2" w:tplc="60CCF556">
      <w:numFmt w:val="decimal"/>
      <w:lvlText w:val=""/>
      <w:lvlJc w:val="left"/>
    </w:lvl>
    <w:lvl w:ilvl="3" w:tplc="AA6C683C">
      <w:numFmt w:val="decimal"/>
      <w:lvlText w:val=""/>
      <w:lvlJc w:val="left"/>
    </w:lvl>
    <w:lvl w:ilvl="4" w:tplc="2022FE24">
      <w:numFmt w:val="decimal"/>
      <w:lvlText w:val=""/>
      <w:lvlJc w:val="left"/>
    </w:lvl>
    <w:lvl w:ilvl="5" w:tplc="7832B8F8">
      <w:numFmt w:val="decimal"/>
      <w:lvlText w:val=""/>
      <w:lvlJc w:val="left"/>
    </w:lvl>
    <w:lvl w:ilvl="6" w:tplc="9C280FD6">
      <w:numFmt w:val="decimal"/>
      <w:lvlText w:val=""/>
      <w:lvlJc w:val="left"/>
    </w:lvl>
    <w:lvl w:ilvl="7" w:tplc="F96E8648">
      <w:numFmt w:val="decimal"/>
      <w:lvlText w:val=""/>
      <w:lvlJc w:val="left"/>
    </w:lvl>
    <w:lvl w:ilvl="8" w:tplc="DFEAAEFE">
      <w:numFmt w:val="decimal"/>
      <w:lvlText w:val=""/>
      <w:lvlJc w:val="left"/>
    </w:lvl>
  </w:abstractNum>
  <w:abstractNum w:abstractNumId="1" w15:restartNumberingAfterBreak="0">
    <w:nsid w:val="3BE16CD8"/>
    <w:multiLevelType w:val="hybridMultilevel"/>
    <w:tmpl w:val="F0208416"/>
    <w:lvl w:ilvl="0" w:tplc="BD726C9A">
      <w:start w:val="1"/>
      <w:numFmt w:val="bullet"/>
      <w:lvlText w:val="●"/>
      <w:lvlJc w:val="left"/>
      <w:pPr>
        <w:ind w:left="720" w:hanging="360"/>
      </w:pPr>
    </w:lvl>
    <w:lvl w:ilvl="1" w:tplc="CACC7094">
      <w:start w:val="1"/>
      <w:numFmt w:val="bullet"/>
      <w:lvlText w:val="○"/>
      <w:lvlJc w:val="left"/>
      <w:pPr>
        <w:ind w:left="1440" w:hanging="360"/>
      </w:pPr>
    </w:lvl>
    <w:lvl w:ilvl="2" w:tplc="3BD82DAA">
      <w:start w:val="1"/>
      <w:numFmt w:val="bullet"/>
      <w:lvlText w:val="■"/>
      <w:lvlJc w:val="left"/>
      <w:pPr>
        <w:ind w:left="2160" w:hanging="360"/>
      </w:pPr>
    </w:lvl>
    <w:lvl w:ilvl="3" w:tplc="423C43B6">
      <w:start w:val="1"/>
      <w:numFmt w:val="bullet"/>
      <w:lvlText w:val="●"/>
      <w:lvlJc w:val="left"/>
      <w:pPr>
        <w:ind w:left="2880" w:hanging="360"/>
      </w:pPr>
    </w:lvl>
    <w:lvl w:ilvl="4" w:tplc="2C66C814">
      <w:start w:val="1"/>
      <w:numFmt w:val="bullet"/>
      <w:lvlText w:val="○"/>
      <w:lvlJc w:val="left"/>
      <w:pPr>
        <w:ind w:left="3600" w:hanging="360"/>
      </w:pPr>
    </w:lvl>
    <w:lvl w:ilvl="5" w:tplc="3546235C">
      <w:start w:val="1"/>
      <w:numFmt w:val="bullet"/>
      <w:lvlText w:val="■"/>
      <w:lvlJc w:val="left"/>
      <w:pPr>
        <w:ind w:left="4320" w:hanging="360"/>
      </w:pPr>
    </w:lvl>
    <w:lvl w:ilvl="6" w:tplc="FC56092E">
      <w:start w:val="1"/>
      <w:numFmt w:val="bullet"/>
      <w:lvlText w:val="●"/>
      <w:lvlJc w:val="left"/>
      <w:pPr>
        <w:ind w:left="5040" w:hanging="360"/>
      </w:pPr>
    </w:lvl>
    <w:lvl w:ilvl="7" w:tplc="A2C4CE3C">
      <w:start w:val="1"/>
      <w:numFmt w:val="bullet"/>
      <w:lvlText w:val="●"/>
      <w:lvlJc w:val="left"/>
      <w:pPr>
        <w:ind w:left="5760" w:hanging="360"/>
      </w:pPr>
    </w:lvl>
    <w:lvl w:ilvl="8" w:tplc="78F00BEE">
      <w:start w:val="1"/>
      <w:numFmt w:val="bullet"/>
      <w:lvlText w:val="●"/>
      <w:lvlJc w:val="left"/>
      <w:pPr>
        <w:ind w:left="6480" w:hanging="360"/>
      </w:pPr>
    </w:lvl>
  </w:abstractNum>
  <w:num w:numId="1" w16cid:durableId="473257901">
    <w:abstractNumId w:val="1"/>
    <w:lvlOverride w:ilvl="0">
      <w:startOverride w:val="1"/>
    </w:lvlOverride>
  </w:num>
  <w:num w:numId="2" w16cid:durableId="179050967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575"/>
    <w:rsid w:val="00243147"/>
    <w:rsid w:val="003A0575"/>
    <w:rsid w:val="004E2A6A"/>
    <w:rsid w:val="00860714"/>
    <w:rsid w:val="00A12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124FB"/>
  <w15:docId w15:val="{48B3028A-ACE6-7A4C-9A35-0188CD06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F4E5F"/>
      <w:sz w:val="30"/>
      <w:szCs w:val="30"/>
    </w:rPr>
  </w:style>
  <w:style w:type="paragraph" w:styleId="Heading2">
    <w:name w:val="heading 2"/>
    <w:uiPriority w:val="9"/>
    <w:unhideWhenUsed/>
    <w:qFormat/>
    <w:pPr>
      <w:spacing w:before="280" w:after="140"/>
      <w:outlineLvl w:val="1"/>
    </w:pPr>
    <w:rPr>
      <w:b/>
      <w:bCs/>
      <w:color w:val="2C6E8E"/>
      <w:sz w:val="25"/>
      <w:szCs w:val="25"/>
    </w:rPr>
  </w:style>
  <w:style w:type="paragraph" w:styleId="Heading3">
    <w:name w:val="heading 3"/>
    <w:uiPriority w:val="9"/>
    <w:semiHidden/>
    <w:unhideWhenUsed/>
    <w:qFormat/>
    <w:pPr>
      <w:spacing w:before="200" w:after="110"/>
      <w:outlineLvl w:val="2"/>
    </w:pPr>
    <w:rPr>
      <w:b/>
      <w:bCs/>
      <w:i/>
      <w:iCs/>
      <w:color w:val="34495E"/>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2A6A"/>
    <w:pPr>
      <w:tabs>
        <w:tab w:val="center" w:pos="4513"/>
        <w:tab w:val="right" w:pos="9026"/>
      </w:tabs>
    </w:pPr>
  </w:style>
  <w:style w:type="character" w:customStyle="1" w:styleId="HeaderChar">
    <w:name w:val="Header Char"/>
    <w:basedOn w:val="DefaultParagraphFont"/>
    <w:link w:val="Header"/>
    <w:uiPriority w:val="99"/>
    <w:rsid w:val="004E2A6A"/>
  </w:style>
  <w:style w:type="paragraph" w:styleId="Footer">
    <w:name w:val="footer"/>
    <w:basedOn w:val="Normal"/>
    <w:link w:val="FooterChar"/>
    <w:uiPriority w:val="99"/>
    <w:unhideWhenUsed/>
    <w:rsid w:val="004E2A6A"/>
    <w:pPr>
      <w:tabs>
        <w:tab w:val="center" w:pos="4513"/>
        <w:tab w:val="right" w:pos="9026"/>
      </w:tabs>
    </w:pPr>
  </w:style>
  <w:style w:type="character" w:customStyle="1" w:styleId="FooterChar">
    <w:name w:val="Footer Char"/>
    <w:basedOn w:val="DefaultParagraphFont"/>
    <w:link w:val="Footer"/>
    <w:uiPriority w:val="99"/>
    <w:rsid w:val="004E2A6A"/>
  </w:style>
  <w:style w:type="paragraph" w:styleId="TOC1">
    <w:name w:val="toc 1"/>
    <w:basedOn w:val="Normal"/>
    <w:next w:val="Normal"/>
    <w:autoRedefine/>
    <w:uiPriority w:val="39"/>
    <w:unhideWhenUsed/>
    <w:rsid w:val="00A12715"/>
    <w:pPr>
      <w:spacing w:after="100"/>
    </w:pPr>
  </w:style>
  <w:style w:type="paragraph" w:styleId="TOC2">
    <w:name w:val="toc 2"/>
    <w:basedOn w:val="Normal"/>
    <w:next w:val="Normal"/>
    <w:autoRedefine/>
    <w:uiPriority w:val="39"/>
    <w:unhideWhenUsed/>
    <w:rsid w:val="00A12715"/>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4026</Words>
  <Characters>22026</Characters>
  <Application>Microsoft Office Word</Application>
  <DocSecurity>0</DocSecurity>
  <Lines>415</Lines>
  <Paragraphs>260</Paragraphs>
  <ScaleCrop>false</ScaleCrop>
  <HeadingPairs>
    <vt:vector size="2" baseType="variant">
      <vt:variant>
        <vt:lpstr>Title</vt:lpstr>
      </vt:variant>
      <vt:variant>
        <vt:i4>1</vt:i4>
      </vt:variant>
    </vt:vector>
  </HeadingPairs>
  <TitlesOfParts>
    <vt:vector size="1" baseType="lpstr">
      <vt:lpstr>District Heating Thermodynamics and Hydraulics — Extended Technical Companion (Part 2)</vt:lpstr>
    </vt:vector>
  </TitlesOfParts>
  <Company/>
  <LinksUpToDate>false</LinksUpToDate>
  <CharactersWithSpaces>25792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Heating Thermodynamics and Hydraulics — Extended Technical Companion (Part 2)</dc:title>
  <dc:creator>François Dorléans</dc:creator>
  <dc:description>Companion technical annex to UC-DHC-UTES-EN-2026 Rev. 3-C</dc:description>
  <cp:lastModifiedBy>Francois Dorleans</cp:lastModifiedBy>
  <cp:revision>2</cp:revision>
  <cp:lastPrinted>2026-09-04T23:44:00Z</cp:lastPrinted>
  <dcterms:created xsi:type="dcterms:W3CDTF">2026-09-04T23:45:00Z</dcterms:created>
  <dcterms:modified xsi:type="dcterms:W3CDTF">2026-09-04T23:45:00Z</dcterms:modified>
</cp:coreProperties>
</file>