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DE09879" w14:textId="77777777" w:rsidR="006A70CC" w:rsidRDefault="00000000">
      <w:pPr>
        <w:spacing w:before="200" w:after="80"/>
      </w:pPr>
      <w:r>
        <w:rPr>
          <w:b/>
          <w:bCs/>
          <w:color w:val="B91C1C"/>
          <w:sz w:val="18"/>
          <w:szCs w:val="18"/>
        </w:rPr>
        <w:t xml:space="preserve">LSE MBA </w:t>
      </w:r>
      <w:proofErr w:type="gramStart"/>
      <w:r>
        <w:rPr>
          <w:b/>
          <w:bCs/>
          <w:color w:val="B91C1C"/>
          <w:sz w:val="18"/>
          <w:szCs w:val="18"/>
        </w:rPr>
        <w:t>ESSENTIALS  ·</w:t>
      </w:r>
      <w:proofErr w:type="gramEnd"/>
      <w:r>
        <w:rPr>
          <w:b/>
          <w:bCs/>
          <w:color w:val="B91C1C"/>
          <w:sz w:val="18"/>
          <w:szCs w:val="18"/>
        </w:rPr>
        <w:t xml:space="preserve">  CAPEX PROJECT GOVERNANCE</w:t>
      </w:r>
    </w:p>
    <w:p w14:paraId="7C4620B0" w14:textId="77777777" w:rsidR="006A70CC" w:rsidRDefault="00000000">
      <w:pPr>
        <w:pBdr>
          <w:bottom w:val="single" w:sz="20" w:space="10" w:color="1B365D"/>
        </w:pBdr>
        <w:spacing w:after="80"/>
      </w:pPr>
      <w:r>
        <w:rPr>
          <w:sz w:val="8"/>
          <w:szCs w:val="8"/>
        </w:rPr>
        <w:t xml:space="preserve"> </w:t>
      </w:r>
    </w:p>
    <w:p w14:paraId="2960EBC3" w14:textId="77777777" w:rsidR="006A70CC" w:rsidRDefault="00000000">
      <w:pPr>
        <w:spacing w:before="400" w:after="80" w:line="276" w:lineRule="auto"/>
      </w:pPr>
      <w:r>
        <w:rPr>
          <w:b/>
          <w:bCs/>
          <w:color w:val="64748B"/>
          <w:sz w:val="22"/>
          <w:szCs w:val="22"/>
        </w:rPr>
        <w:t>DECISION BRIEF</w:t>
      </w:r>
    </w:p>
    <w:p w14:paraId="06415A01" w14:textId="77777777" w:rsidR="006A70CC" w:rsidRDefault="00000000">
      <w:pPr>
        <w:spacing w:after="80"/>
      </w:pPr>
      <w:r>
        <w:rPr>
          <w:b/>
          <w:bCs/>
          <w:color w:val="1B365D"/>
          <w:sz w:val="52"/>
          <w:szCs w:val="52"/>
        </w:rPr>
        <w:t>Final Investment Decision</w:t>
      </w:r>
    </w:p>
    <w:p w14:paraId="14269AC1" w14:textId="77777777" w:rsidR="006A70CC" w:rsidRDefault="00000000">
      <w:pPr>
        <w:spacing w:after="280"/>
      </w:pPr>
      <w:r>
        <w:rPr>
          <w:b/>
          <w:bCs/>
          <w:color w:val="B91C1C"/>
          <w:sz w:val="52"/>
          <w:szCs w:val="52"/>
        </w:rPr>
        <w:t>FID</w:t>
      </w:r>
    </w:p>
    <w:p w14:paraId="56A5C8A4" w14:textId="77777777" w:rsidR="000834AD" w:rsidRDefault="000834AD">
      <w:pPr>
        <w:spacing w:after="360" w:line="276" w:lineRule="auto"/>
        <w:rPr>
          <w:color w:val="334155"/>
          <w:sz w:val="22"/>
          <w:szCs w:val="22"/>
        </w:rPr>
      </w:pPr>
    </w:p>
    <w:p w14:paraId="29AFE750" w14:textId="77777777" w:rsidR="000834AD" w:rsidRDefault="000834AD">
      <w:pPr>
        <w:spacing w:after="360" w:line="276" w:lineRule="auto"/>
        <w:rPr>
          <w:color w:val="334155"/>
          <w:sz w:val="22"/>
          <w:szCs w:val="22"/>
        </w:rPr>
      </w:pPr>
    </w:p>
    <w:p w14:paraId="1344BC3E" w14:textId="77777777" w:rsidR="000834AD" w:rsidRDefault="000834AD">
      <w:pPr>
        <w:spacing w:after="360" w:line="276" w:lineRule="auto"/>
        <w:rPr>
          <w:color w:val="334155"/>
          <w:sz w:val="22"/>
          <w:szCs w:val="22"/>
        </w:rPr>
      </w:pPr>
    </w:p>
    <w:p w14:paraId="596D9493" w14:textId="77777777" w:rsidR="000834AD" w:rsidRDefault="000834AD">
      <w:pPr>
        <w:spacing w:after="360" w:line="276" w:lineRule="auto"/>
        <w:rPr>
          <w:color w:val="334155"/>
          <w:sz w:val="22"/>
          <w:szCs w:val="22"/>
        </w:rPr>
      </w:pPr>
    </w:p>
    <w:p w14:paraId="40C6D51D" w14:textId="77777777" w:rsidR="000834AD" w:rsidRDefault="000834AD">
      <w:pPr>
        <w:spacing w:after="360" w:line="276" w:lineRule="auto"/>
        <w:rPr>
          <w:color w:val="334155"/>
          <w:sz w:val="22"/>
          <w:szCs w:val="22"/>
        </w:rPr>
      </w:pPr>
    </w:p>
    <w:p w14:paraId="126F012B" w14:textId="77777777" w:rsidR="000834AD" w:rsidRDefault="000834AD">
      <w:pPr>
        <w:spacing w:after="360" w:line="276" w:lineRule="auto"/>
        <w:rPr>
          <w:color w:val="334155"/>
          <w:sz w:val="22"/>
          <w:szCs w:val="22"/>
        </w:rPr>
      </w:pPr>
    </w:p>
    <w:p w14:paraId="74D505D6" w14:textId="77777777" w:rsidR="000834AD" w:rsidRDefault="000834AD">
      <w:pPr>
        <w:spacing w:after="360" w:line="276" w:lineRule="auto"/>
        <w:rPr>
          <w:color w:val="334155"/>
          <w:sz w:val="22"/>
          <w:szCs w:val="22"/>
        </w:rPr>
      </w:pPr>
    </w:p>
    <w:p w14:paraId="4CC94D33" w14:textId="5BE9C1A3" w:rsidR="000834AD" w:rsidRPr="000834AD" w:rsidRDefault="00000000">
      <w:pPr>
        <w:spacing w:after="360" w:line="276" w:lineRule="auto"/>
        <w:rPr>
          <w:color w:val="334155"/>
          <w:sz w:val="22"/>
          <w:szCs w:val="22"/>
        </w:rPr>
      </w:pPr>
      <w:r>
        <w:rPr>
          <w:color w:val="334155"/>
          <w:sz w:val="22"/>
          <w:szCs w:val="22"/>
        </w:rPr>
        <w:t>Stage-gate playbook, FID package contents, LSE appraisal (NPV / IRR / payback / ARR), debiasing protocols and governance checklists.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838"/>
      </w:tblGrid>
      <w:tr w:rsidR="006A70CC" w14:paraId="4B7764A8" w14:textId="77777777">
        <w:tblPrEx>
          <w:tblCellMar>
            <w:top w:w="0" w:type="dxa"/>
            <w:bottom w:w="0" w:type="dxa"/>
          </w:tblCellMar>
        </w:tblPrEx>
        <w:trPr>
          <w:tblHeader/>
        </w:trPr>
        <w:tc>
          <w:tcPr>
            <w:tcW w:w="2800" w:type="dxa"/>
            <w:tcBorders>
              <w:top w:val="single" w:sz="4" w:space="0" w:color="CBD5E1"/>
              <w:left w:val="single" w:sz="4" w:space="0" w:color="CBD5E1"/>
              <w:bottom w:val="single" w:sz="4" w:space="0" w:color="CBD5E1"/>
              <w:right w:val="single" w:sz="4" w:space="0" w:color="CBD5E1"/>
            </w:tcBorders>
            <w:shd w:val="clear" w:color="auto" w:fill="1B365D"/>
            <w:tcMar>
              <w:top w:w="60" w:type="dxa"/>
              <w:left w:w="80" w:type="dxa"/>
              <w:bottom w:w="60" w:type="dxa"/>
              <w:right w:w="80" w:type="dxa"/>
            </w:tcMar>
            <w:vAlign w:val="center"/>
          </w:tcPr>
          <w:p w14:paraId="5E7B63EC" w14:textId="77777777" w:rsidR="006A70CC" w:rsidRDefault="00000000">
            <w:r>
              <w:rPr>
                <w:b/>
                <w:bCs/>
                <w:color w:val="FFFFFF"/>
                <w:sz w:val="17"/>
                <w:szCs w:val="17"/>
              </w:rPr>
              <w:t>Item</w:t>
            </w:r>
          </w:p>
        </w:tc>
        <w:tc>
          <w:tcPr>
            <w:tcW w:w="6838" w:type="dxa"/>
            <w:tcBorders>
              <w:top w:val="single" w:sz="4" w:space="0" w:color="CBD5E1"/>
              <w:left w:val="single" w:sz="4" w:space="0" w:color="CBD5E1"/>
              <w:bottom w:val="single" w:sz="4" w:space="0" w:color="CBD5E1"/>
              <w:right w:val="single" w:sz="4" w:space="0" w:color="CBD5E1"/>
            </w:tcBorders>
            <w:shd w:val="clear" w:color="auto" w:fill="1B365D"/>
            <w:tcMar>
              <w:top w:w="60" w:type="dxa"/>
              <w:left w:w="80" w:type="dxa"/>
              <w:bottom w:w="60" w:type="dxa"/>
              <w:right w:w="80" w:type="dxa"/>
            </w:tcMar>
            <w:vAlign w:val="center"/>
          </w:tcPr>
          <w:p w14:paraId="3EB54726" w14:textId="77777777" w:rsidR="006A70CC" w:rsidRDefault="00000000">
            <w:r>
              <w:rPr>
                <w:b/>
                <w:bCs/>
                <w:color w:val="FFFFFF"/>
                <w:sz w:val="17"/>
                <w:szCs w:val="17"/>
              </w:rPr>
              <w:t>Content</w:t>
            </w:r>
          </w:p>
        </w:tc>
      </w:tr>
      <w:tr w:rsidR="006A70CC" w14:paraId="19F06ABE" w14:textId="77777777">
        <w:tblPrEx>
          <w:tblCellMar>
            <w:top w:w="0" w:type="dxa"/>
            <w:bottom w:w="0" w:type="dxa"/>
          </w:tblCellMar>
        </w:tblPrEx>
        <w:tc>
          <w:tcPr>
            <w:tcW w:w="28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3E5D516E" w14:textId="77777777" w:rsidR="006A70CC" w:rsidRDefault="00000000">
            <w:r>
              <w:rPr>
                <w:color w:val="334155"/>
                <w:sz w:val="17"/>
                <w:szCs w:val="17"/>
              </w:rPr>
              <w:t>Document</w:t>
            </w:r>
          </w:p>
        </w:tc>
        <w:tc>
          <w:tcPr>
            <w:tcW w:w="6838"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1D09BEFB" w14:textId="77777777" w:rsidR="006A70CC" w:rsidRDefault="00000000">
            <w:r>
              <w:rPr>
                <w:color w:val="334155"/>
                <w:sz w:val="17"/>
                <w:szCs w:val="17"/>
              </w:rPr>
              <w:t>Methodological brief + template for the FID package</w:t>
            </w:r>
          </w:p>
        </w:tc>
      </w:tr>
      <w:tr w:rsidR="006A70CC" w14:paraId="68C1EB3D" w14:textId="77777777">
        <w:tblPrEx>
          <w:tblCellMar>
            <w:top w:w="0" w:type="dxa"/>
            <w:bottom w:w="0" w:type="dxa"/>
          </w:tblCellMar>
        </w:tblPrEx>
        <w:tc>
          <w:tcPr>
            <w:tcW w:w="28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373BC068" w14:textId="77777777" w:rsidR="006A70CC" w:rsidRDefault="00000000">
            <w:r>
              <w:rPr>
                <w:color w:val="334155"/>
                <w:sz w:val="17"/>
                <w:szCs w:val="17"/>
              </w:rPr>
              <w:t>Author / owner</w:t>
            </w:r>
          </w:p>
        </w:tc>
        <w:tc>
          <w:tcPr>
            <w:tcW w:w="6838"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0A513744" w14:textId="77777777" w:rsidR="006A70CC" w:rsidRDefault="00000000">
            <w:r>
              <w:rPr>
                <w:color w:val="334155"/>
                <w:sz w:val="17"/>
                <w:szCs w:val="17"/>
              </w:rPr>
              <w:t>Francois Philippe Amour Dorleans</w:t>
            </w:r>
          </w:p>
        </w:tc>
      </w:tr>
      <w:tr w:rsidR="006A70CC" w14:paraId="063AF826" w14:textId="77777777">
        <w:tblPrEx>
          <w:tblCellMar>
            <w:top w:w="0" w:type="dxa"/>
            <w:bottom w:w="0" w:type="dxa"/>
          </w:tblCellMar>
        </w:tblPrEx>
        <w:tc>
          <w:tcPr>
            <w:tcW w:w="28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726A848F" w14:textId="77777777" w:rsidR="006A70CC" w:rsidRDefault="00000000">
            <w:r>
              <w:rPr>
                <w:color w:val="334155"/>
                <w:sz w:val="17"/>
                <w:szCs w:val="17"/>
              </w:rPr>
              <w:t>Academic anchor</w:t>
            </w:r>
          </w:p>
        </w:tc>
        <w:tc>
          <w:tcPr>
            <w:tcW w:w="6838"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7B6C5662" w14:textId="77777777" w:rsidR="006A70CC" w:rsidRDefault="00000000">
            <w:r>
              <w:rPr>
                <w:color w:val="334155"/>
                <w:sz w:val="17"/>
                <w:szCs w:val="17"/>
              </w:rPr>
              <w:t>LSE — MBA Essentials (Feb–Apr 2023), cert. 342406</w:t>
            </w:r>
          </w:p>
        </w:tc>
      </w:tr>
      <w:tr w:rsidR="006A70CC" w14:paraId="5D50767F" w14:textId="77777777">
        <w:tblPrEx>
          <w:tblCellMar>
            <w:top w:w="0" w:type="dxa"/>
            <w:bottom w:w="0" w:type="dxa"/>
          </w:tblCellMar>
        </w:tblPrEx>
        <w:tc>
          <w:tcPr>
            <w:tcW w:w="28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1F4E77BD" w14:textId="77777777" w:rsidR="006A70CC" w:rsidRDefault="00000000">
            <w:r>
              <w:rPr>
                <w:color w:val="334155"/>
                <w:sz w:val="17"/>
                <w:szCs w:val="17"/>
              </w:rPr>
              <w:t>Operating anchor</w:t>
            </w:r>
          </w:p>
        </w:tc>
        <w:tc>
          <w:tcPr>
            <w:tcW w:w="6838"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20544E67" w14:textId="77777777" w:rsidR="006A70CC" w:rsidRDefault="00000000">
            <w:r>
              <w:rPr>
                <w:color w:val="334155"/>
                <w:sz w:val="17"/>
                <w:szCs w:val="17"/>
              </w:rPr>
              <w:t>Capex project management, Front-End Loading, stage-gate</w:t>
            </w:r>
          </w:p>
        </w:tc>
      </w:tr>
      <w:tr w:rsidR="006A70CC" w14:paraId="7E6779A8" w14:textId="77777777">
        <w:tblPrEx>
          <w:tblCellMar>
            <w:top w:w="0" w:type="dxa"/>
            <w:bottom w:w="0" w:type="dxa"/>
          </w:tblCellMar>
        </w:tblPrEx>
        <w:tc>
          <w:tcPr>
            <w:tcW w:w="28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72DEBF00" w14:textId="77777777" w:rsidR="006A70CC" w:rsidRDefault="00000000">
            <w:r>
              <w:rPr>
                <w:color w:val="334155"/>
                <w:sz w:val="17"/>
                <w:szCs w:val="17"/>
              </w:rPr>
              <w:t>Audience</w:t>
            </w:r>
          </w:p>
        </w:tc>
        <w:tc>
          <w:tcPr>
            <w:tcW w:w="6838"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66524D2C" w14:textId="77777777" w:rsidR="006A70CC" w:rsidRDefault="00000000">
            <w:r>
              <w:rPr>
                <w:color w:val="334155"/>
                <w:sz w:val="17"/>
                <w:szCs w:val="17"/>
              </w:rPr>
              <w:t>Investment committee, sponsor, PMO, project team</w:t>
            </w:r>
          </w:p>
        </w:tc>
      </w:tr>
      <w:tr w:rsidR="006A70CC" w14:paraId="169631DF" w14:textId="77777777">
        <w:tblPrEx>
          <w:tblCellMar>
            <w:top w:w="0" w:type="dxa"/>
            <w:bottom w:w="0" w:type="dxa"/>
          </w:tblCellMar>
        </w:tblPrEx>
        <w:tc>
          <w:tcPr>
            <w:tcW w:w="28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62B318B7" w14:textId="77777777" w:rsidR="006A70CC" w:rsidRDefault="00000000">
            <w:r>
              <w:rPr>
                <w:color w:val="334155"/>
                <w:sz w:val="17"/>
                <w:szCs w:val="17"/>
              </w:rPr>
              <w:t>Status</w:t>
            </w:r>
          </w:p>
        </w:tc>
        <w:tc>
          <w:tcPr>
            <w:tcW w:w="6838"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0BC819E6" w14:textId="77777777" w:rsidR="006A70CC" w:rsidRDefault="00000000">
            <w:r>
              <w:rPr>
                <w:color w:val="334155"/>
                <w:sz w:val="17"/>
                <w:szCs w:val="17"/>
              </w:rPr>
              <w:t>Working standard — instantiate on a named project</w:t>
            </w:r>
          </w:p>
        </w:tc>
      </w:tr>
      <w:tr w:rsidR="006A70CC" w14:paraId="6063856F" w14:textId="77777777">
        <w:tblPrEx>
          <w:tblCellMar>
            <w:top w:w="0" w:type="dxa"/>
            <w:bottom w:w="0" w:type="dxa"/>
          </w:tblCellMar>
        </w:tblPrEx>
        <w:tc>
          <w:tcPr>
            <w:tcW w:w="28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1B03FD06" w14:textId="77777777" w:rsidR="006A70CC" w:rsidRDefault="00000000">
            <w:r>
              <w:rPr>
                <w:color w:val="334155"/>
                <w:sz w:val="17"/>
                <w:szCs w:val="17"/>
              </w:rPr>
              <w:t>Language version</w:t>
            </w:r>
          </w:p>
        </w:tc>
        <w:tc>
          <w:tcPr>
            <w:tcW w:w="6838"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030E8DD3" w14:textId="77777777" w:rsidR="006A70CC" w:rsidRDefault="00000000">
            <w:r>
              <w:rPr>
                <w:color w:val="334155"/>
                <w:sz w:val="17"/>
                <w:szCs w:val="17"/>
              </w:rPr>
              <w:t>English counterpart of the French dossier</w:t>
            </w:r>
          </w:p>
        </w:tc>
      </w:tr>
      <w:tr w:rsidR="006A70CC" w14:paraId="3DCE6422" w14:textId="77777777">
        <w:tblPrEx>
          <w:tblCellMar>
            <w:top w:w="0" w:type="dxa"/>
            <w:bottom w:w="0" w:type="dxa"/>
          </w:tblCellMar>
        </w:tblPrEx>
        <w:tc>
          <w:tcPr>
            <w:tcW w:w="28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6502CC7D" w14:textId="77777777" w:rsidR="006A70CC" w:rsidRDefault="00000000">
            <w:r>
              <w:rPr>
                <w:color w:val="334155"/>
                <w:sz w:val="17"/>
                <w:szCs w:val="17"/>
              </w:rPr>
              <w:t>Date</w:t>
            </w:r>
          </w:p>
        </w:tc>
        <w:tc>
          <w:tcPr>
            <w:tcW w:w="6838"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376BCE19" w14:textId="77777777" w:rsidR="006A70CC" w:rsidRDefault="00000000">
            <w:r>
              <w:rPr>
                <w:color w:val="334155"/>
                <w:sz w:val="17"/>
                <w:szCs w:val="17"/>
              </w:rPr>
              <w:t>11 September 2026</w:t>
            </w:r>
          </w:p>
        </w:tc>
      </w:tr>
    </w:tbl>
    <w:p w14:paraId="31E43808" w14:textId="77777777" w:rsidR="006A70CC" w:rsidRDefault="00000000">
      <w:pPr>
        <w:spacing w:after="200" w:line="276" w:lineRule="auto"/>
      </w:pPr>
      <w:r>
        <w:rPr>
          <w:color w:val="334155"/>
          <w:sz w:val="12"/>
          <w:szCs w:val="12"/>
        </w:rPr>
        <w:t xml:space="preserve"> </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6A70CC" w14:paraId="5D84AC3C" w14:textId="77777777">
        <w:tblPrEx>
          <w:tblCellMar>
            <w:top w:w="0" w:type="dxa"/>
            <w:bottom w:w="0" w:type="dxa"/>
          </w:tblCellMar>
        </w:tblPrEx>
        <w:tc>
          <w:tcPr>
            <w:tcW w:w="9638" w:type="dxa"/>
            <w:tcBorders>
              <w:top w:val="single" w:sz="16" w:space="0" w:color="B91C1C"/>
              <w:left w:val="single" w:sz="4" w:space="0" w:color="CBD5E1"/>
              <w:bottom w:val="single" w:sz="4" w:space="0" w:color="CBD5E1"/>
              <w:right w:val="single" w:sz="4" w:space="0" w:color="CBD5E1"/>
            </w:tcBorders>
            <w:shd w:val="clear" w:color="auto" w:fill="FEF2F2"/>
            <w:tcMar>
              <w:top w:w="100" w:type="dxa"/>
              <w:left w:w="140" w:type="dxa"/>
              <w:bottom w:w="100" w:type="dxa"/>
              <w:right w:w="140" w:type="dxa"/>
            </w:tcMar>
          </w:tcPr>
          <w:p w14:paraId="1B464FEB" w14:textId="77777777" w:rsidR="006A70CC" w:rsidRDefault="00000000">
            <w:pPr>
              <w:spacing w:after="60" w:line="276" w:lineRule="auto"/>
            </w:pPr>
            <w:r>
              <w:rPr>
                <w:b/>
                <w:bCs/>
                <w:color w:val="B91C1C"/>
                <w:sz w:val="20"/>
                <w:szCs w:val="20"/>
              </w:rPr>
              <w:t>LSE golden rule before opening the file</w:t>
            </w:r>
          </w:p>
          <w:p w14:paraId="7374A902" w14:textId="77777777" w:rsidR="006A70CC" w:rsidRDefault="00000000">
            <w:pPr>
              <w:spacing w:after="40" w:line="276" w:lineRule="auto"/>
            </w:pPr>
            <w:r>
              <w:rPr>
                <w:color w:val="334155"/>
                <w:sz w:val="20"/>
                <w:szCs w:val="20"/>
              </w:rPr>
              <w:t>A long-term investment decision must maximise shareholder wealth. Judge cash flows, not accounting profit. NPV is the most accurate method because it incorporates the time value of money. Study costs already spent are a sunk cost: they never justify a bad FID.</w:t>
            </w:r>
          </w:p>
        </w:tc>
      </w:tr>
    </w:tbl>
    <w:p w14:paraId="45D05309" w14:textId="77777777" w:rsidR="006A70CC" w:rsidRDefault="00000000">
      <w:r>
        <w:br w:type="page"/>
      </w:r>
    </w:p>
    <w:p w14:paraId="640E66EB" w14:textId="77777777" w:rsidR="006A70CC" w:rsidRDefault="00000000">
      <w:pPr>
        <w:pStyle w:val="Heading1"/>
        <w:pBdr>
          <w:bottom w:val="single" w:sz="12" w:space="4" w:color="1B365D"/>
        </w:pBdr>
      </w:pPr>
      <w:r>
        <w:lastRenderedPageBreak/>
        <w:t>Contents</w:t>
      </w:r>
    </w:p>
    <w:p w14:paraId="178F3FBB" w14:textId="77777777" w:rsidR="006A70CC" w:rsidRDefault="00000000">
      <w:pPr>
        <w:spacing w:after="60" w:line="276" w:lineRule="auto"/>
      </w:pPr>
      <w:r>
        <w:rPr>
          <w:color w:val="1B365D"/>
          <w:sz w:val="22"/>
          <w:szCs w:val="22"/>
        </w:rPr>
        <w:t>1. Purpose, audience and how to use this brief</w:t>
      </w:r>
    </w:p>
    <w:p w14:paraId="6D8CB429" w14:textId="77777777" w:rsidR="006A70CC" w:rsidRDefault="00000000">
      <w:pPr>
        <w:spacing w:after="60" w:line="276" w:lineRule="auto"/>
      </w:pPr>
      <w:r>
        <w:rPr>
          <w:color w:val="1B365D"/>
          <w:sz w:val="22"/>
          <w:szCs w:val="22"/>
        </w:rPr>
        <w:t>2. What FID is — and why it changes everything</w:t>
      </w:r>
    </w:p>
    <w:p w14:paraId="49E870D2" w14:textId="77777777" w:rsidR="006A70CC" w:rsidRDefault="00000000">
      <w:pPr>
        <w:spacing w:after="60" w:line="276" w:lineRule="auto"/>
      </w:pPr>
      <w:r>
        <w:rPr>
          <w:color w:val="1B365D"/>
          <w:sz w:val="22"/>
          <w:szCs w:val="22"/>
        </w:rPr>
        <w:t xml:space="preserve">3. LSE MBA Essentials — what belongs inside </w:t>
      </w:r>
      <w:proofErr w:type="gramStart"/>
      <w:r>
        <w:rPr>
          <w:color w:val="1B365D"/>
          <w:sz w:val="22"/>
          <w:szCs w:val="22"/>
        </w:rPr>
        <w:t>a</w:t>
      </w:r>
      <w:proofErr w:type="gramEnd"/>
      <w:r>
        <w:rPr>
          <w:color w:val="1B365D"/>
          <w:sz w:val="22"/>
          <w:szCs w:val="22"/>
        </w:rPr>
        <w:t xml:space="preserve"> FID</w:t>
      </w:r>
    </w:p>
    <w:p w14:paraId="753CFFBA" w14:textId="77777777" w:rsidR="006A70CC" w:rsidRDefault="00000000">
      <w:pPr>
        <w:spacing w:after="60" w:line="276" w:lineRule="auto"/>
      </w:pPr>
      <w:r>
        <w:rPr>
          <w:color w:val="1B365D"/>
          <w:sz w:val="22"/>
          <w:szCs w:val="22"/>
        </w:rPr>
        <w:t>4. Stage-gate architecture to FID</w:t>
      </w:r>
    </w:p>
    <w:p w14:paraId="402B81CD" w14:textId="77777777" w:rsidR="006A70CC" w:rsidRDefault="00000000">
      <w:pPr>
        <w:spacing w:after="60" w:line="276" w:lineRule="auto"/>
      </w:pPr>
      <w:r>
        <w:rPr>
          <w:color w:val="1B365D"/>
          <w:sz w:val="22"/>
          <w:szCs w:val="22"/>
        </w:rPr>
        <w:t>5. Gate 0 — Identify / Appraise / FEL-1</w:t>
      </w:r>
    </w:p>
    <w:p w14:paraId="601F5948" w14:textId="77777777" w:rsidR="006A70CC" w:rsidRDefault="00000000">
      <w:pPr>
        <w:spacing w:after="60" w:line="276" w:lineRule="auto"/>
      </w:pPr>
      <w:r>
        <w:rPr>
          <w:color w:val="1B365D"/>
          <w:sz w:val="22"/>
          <w:szCs w:val="22"/>
        </w:rPr>
        <w:t>6. Gate 1 — Select / Pre-feasibility / FEL-2</w:t>
      </w:r>
    </w:p>
    <w:p w14:paraId="2DB107C2" w14:textId="77777777" w:rsidR="006A70CC" w:rsidRDefault="00000000">
      <w:pPr>
        <w:spacing w:after="60" w:line="276" w:lineRule="auto"/>
      </w:pPr>
      <w:r>
        <w:rPr>
          <w:color w:val="1B365D"/>
          <w:sz w:val="22"/>
          <w:szCs w:val="22"/>
        </w:rPr>
        <w:t>7. Gate 2 — Define / FEED / Feasibility / FEL-3</w:t>
      </w:r>
    </w:p>
    <w:p w14:paraId="7B8366D4" w14:textId="77777777" w:rsidR="006A70CC" w:rsidRDefault="00000000">
      <w:pPr>
        <w:spacing w:after="60" w:line="276" w:lineRule="auto"/>
      </w:pPr>
      <w:r>
        <w:rPr>
          <w:color w:val="1B365D"/>
          <w:sz w:val="22"/>
          <w:szCs w:val="22"/>
        </w:rPr>
        <w:t>8. Gate 3 — The FID</w:t>
      </w:r>
    </w:p>
    <w:p w14:paraId="7B0CCC8C" w14:textId="77777777" w:rsidR="006A70CC" w:rsidRDefault="00000000">
      <w:pPr>
        <w:spacing w:after="60" w:line="276" w:lineRule="auto"/>
      </w:pPr>
      <w:r>
        <w:rPr>
          <w:color w:val="1B365D"/>
          <w:sz w:val="22"/>
          <w:szCs w:val="22"/>
        </w:rPr>
        <w:t>9. Standard FID package (committee file)</w:t>
      </w:r>
    </w:p>
    <w:p w14:paraId="35100887" w14:textId="77777777" w:rsidR="006A70CC" w:rsidRDefault="00000000">
      <w:pPr>
        <w:spacing w:after="60" w:line="276" w:lineRule="auto"/>
      </w:pPr>
      <w:r>
        <w:rPr>
          <w:color w:val="1B365D"/>
          <w:sz w:val="22"/>
          <w:szCs w:val="22"/>
        </w:rPr>
        <w:t>10. Investment appraisal — how the numbers must be built</w:t>
      </w:r>
    </w:p>
    <w:p w14:paraId="4323EBA6" w14:textId="77777777" w:rsidR="006A70CC" w:rsidRDefault="00000000">
      <w:pPr>
        <w:spacing w:after="60" w:line="276" w:lineRule="auto"/>
      </w:pPr>
      <w:r>
        <w:rPr>
          <w:color w:val="1B365D"/>
          <w:sz w:val="22"/>
          <w:szCs w:val="22"/>
        </w:rPr>
        <w:t>11. Risk, sensitivities and scenarios</w:t>
      </w:r>
    </w:p>
    <w:p w14:paraId="54141984" w14:textId="77777777" w:rsidR="006A70CC" w:rsidRDefault="00000000">
      <w:pPr>
        <w:spacing w:after="60" w:line="276" w:lineRule="auto"/>
      </w:pPr>
      <w:r>
        <w:rPr>
          <w:color w:val="1B365D"/>
          <w:sz w:val="22"/>
          <w:szCs w:val="22"/>
        </w:rPr>
        <w:t>12. Cognitive biases and debiasing (LSE Module 8)</w:t>
      </w:r>
    </w:p>
    <w:p w14:paraId="2223D178" w14:textId="77777777" w:rsidR="006A70CC" w:rsidRDefault="00000000">
      <w:pPr>
        <w:spacing w:after="60" w:line="276" w:lineRule="auto"/>
      </w:pPr>
      <w:r>
        <w:rPr>
          <w:color w:val="1B365D"/>
          <w:sz w:val="22"/>
          <w:szCs w:val="22"/>
        </w:rPr>
        <w:t>13. Governance, roles and RACI</w:t>
      </w:r>
    </w:p>
    <w:p w14:paraId="5327AD61" w14:textId="77777777" w:rsidR="006A70CC" w:rsidRDefault="00000000">
      <w:pPr>
        <w:spacing w:after="60" w:line="276" w:lineRule="auto"/>
      </w:pPr>
      <w:r>
        <w:rPr>
          <w:color w:val="1B365D"/>
          <w:sz w:val="22"/>
          <w:szCs w:val="22"/>
        </w:rPr>
        <w:t xml:space="preserve">14. Master </w:t>
      </w:r>
      <w:proofErr w:type="gramStart"/>
      <w:r>
        <w:rPr>
          <w:color w:val="1B365D"/>
          <w:sz w:val="22"/>
          <w:szCs w:val="22"/>
        </w:rPr>
        <w:t>pre-FID</w:t>
      </w:r>
      <w:proofErr w:type="gramEnd"/>
      <w:r>
        <w:rPr>
          <w:color w:val="1B365D"/>
          <w:sz w:val="22"/>
          <w:szCs w:val="22"/>
        </w:rPr>
        <w:t xml:space="preserve"> checklists</w:t>
      </w:r>
    </w:p>
    <w:p w14:paraId="34333256" w14:textId="77777777" w:rsidR="006A70CC" w:rsidRDefault="00000000">
      <w:pPr>
        <w:spacing w:after="60" w:line="276" w:lineRule="auto"/>
      </w:pPr>
      <w:r>
        <w:rPr>
          <w:color w:val="1B365D"/>
          <w:sz w:val="22"/>
          <w:szCs w:val="22"/>
        </w:rPr>
        <w:t>15. After FID — what the brief must already specify</w:t>
      </w:r>
    </w:p>
    <w:p w14:paraId="2B1EEDC0" w14:textId="77777777" w:rsidR="006A70CC" w:rsidRDefault="00000000">
      <w:pPr>
        <w:spacing w:after="60" w:line="276" w:lineRule="auto"/>
      </w:pPr>
      <w:r>
        <w:rPr>
          <w:color w:val="1B365D"/>
          <w:sz w:val="22"/>
          <w:szCs w:val="22"/>
        </w:rPr>
        <w:t>16. CV, interview and sponsor one-pager language</w:t>
      </w:r>
    </w:p>
    <w:p w14:paraId="5C93B6CA" w14:textId="77777777" w:rsidR="006A70CC" w:rsidRDefault="00000000">
      <w:pPr>
        <w:spacing w:after="200" w:line="276" w:lineRule="auto"/>
      </w:pPr>
      <w:r>
        <w:rPr>
          <w:color w:val="1B365D"/>
          <w:sz w:val="22"/>
          <w:szCs w:val="22"/>
        </w:rPr>
        <w:t>17. Annexes — glossary, formulae, sources, project sheet</w:t>
      </w:r>
    </w:p>
    <w:p w14:paraId="29D84DA2" w14:textId="77777777" w:rsidR="006A70CC" w:rsidRDefault="00000000">
      <w:pPr>
        <w:spacing w:after="120" w:line="276" w:lineRule="auto"/>
      </w:pPr>
      <w:r>
        <w:rPr>
          <w:i/>
          <w:iCs/>
          <w:color w:val="64748B"/>
          <w:sz w:val="18"/>
          <w:szCs w:val="18"/>
        </w:rPr>
        <w:t>Seventeen sections: stage-gate playbook + committee-file template + checklists. Instantiate on a named asset before sending to committee.</w:t>
      </w:r>
    </w:p>
    <w:p w14:paraId="6A27090E" w14:textId="77777777" w:rsidR="006A70CC" w:rsidRDefault="00000000">
      <w:r>
        <w:br w:type="page"/>
      </w:r>
    </w:p>
    <w:p w14:paraId="769349AE" w14:textId="77777777" w:rsidR="006A70CC" w:rsidRDefault="00000000">
      <w:pPr>
        <w:pStyle w:val="Heading1"/>
        <w:pBdr>
          <w:bottom w:val="single" w:sz="12" w:space="4" w:color="1B365D"/>
        </w:pBdr>
      </w:pPr>
      <w:r>
        <w:lastRenderedPageBreak/>
        <w:t>1. Purpose, audience and how to use this brief</w:t>
      </w:r>
    </w:p>
    <w:p w14:paraId="0B7E921F" w14:textId="77777777" w:rsidR="006A70CC" w:rsidRDefault="00000000">
      <w:pPr>
        <w:spacing w:after="120" w:line="276" w:lineRule="auto"/>
      </w:pPr>
      <w:r>
        <w:rPr>
          <w:color w:val="334155"/>
        </w:rPr>
        <w:t xml:space="preserve">This document has two jobs. First, it explains how to build the path to FID. Second, it specifies what the investment committee must receive </w:t>
      </w:r>
      <w:proofErr w:type="gramStart"/>
      <w:r>
        <w:rPr>
          <w:color w:val="334155"/>
        </w:rPr>
        <w:t>in order to</w:t>
      </w:r>
      <w:proofErr w:type="gramEnd"/>
      <w:r>
        <w:rPr>
          <w:color w:val="334155"/>
        </w:rPr>
        <w:t xml:space="preserve"> decide. It is therefore both a methodological playbook and a template for the FID package.</w:t>
      </w:r>
    </w:p>
    <w:p w14:paraId="11B8771F" w14:textId="77777777" w:rsidR="006A70CC" w:rsidRDefault="00000000">
      <w:pPr>
        <w:spacing w:after="120" w:line="276" w:lineRule="auto"/>
      </w:pPr>
      <w:r>
        <w:rPr>
          <w:color w:val="334155"/>
        </w:rPr>
        <w:t xml:space="preserve">It deliberately joins two bodies of knowledge that are too often kept apart: the MBA toolkit (appraisal, ratios, decision biases, value creation) and capex project management (stage-gate, FEL, FEED, estimating, contracts, permits). </w:t>
      </w:r>
      <w:proofErr w:type="gramStart"/>
      <w:r>
        <w:rPr>
          <w:color w:val="334155"/>
        </w:rPr>
        <w:t>A</w:t>
      </w:r>
      <w:proofErr w:type="gramEnd"/>
      <w:r>
        <w:rPr>
          <w:color w:val="334155"/>
        </w:rPr>
        <w:t xml:space="preserve"> FID is neither an engineering deliverable nor a spreadsheet. It is an irrevocable allocation of capital under uncertainty.</w:t>
      </w:r>
    </w:p>
    <w:p w14:paraId="6CBE9B27" w14:textId="77777777" w:rsidR="006A70CC" w:rsidRDefault="00000000">
      <w:pPr>
        <w:pStyle w:val="Heading2"/>
      </w:pPr>
      <w:r>
        <w:t>1.1 What this brief is not</w:t>
      </w:r>
    </w:p>
    <w:p w14:paraId="67531E87" w14:textId="77777777" w:rsidR="006A70CC" w:rsidRDefault="00000000">
      <w:pPr>
        <w:pStyle w:val="ListParagraph"/>
        <w:numPr>
          <w:ilvl w:val="0"/>
          <w:numId w:val="2"/>
        </w:numPr>
        <w:spacing w:after="60" w:line="260" w:lineRule="auto"/>
      </w:pPr>
      <w:r>
        <w:rPr>
          <w:color w:val="334155"/>
        </w:rPr>
        <w:t>A ready-to-fill financial model for a named asset (produce that as a project annex).</w:t>
      </w:r>
    </w:p>
    <w:p w14:paraId="7AC70884" w14:textId="77777777" w:rsidR="006A70CC" w:rsidRDefault="00000000">
      <w:pPr>
        <w:pStyle w:val="ListParagraph"/>
        <w:numPr>
          <w:ilvl w:val="0"/>
          <w:numId w:val="2"/>
        </w:numPr>
        <w:spacing w:after="60" w:line="260" w:lineRule="auto"/>
      </w:pPr>
      <w:r>
        <w:rPr>
          <w:color w:val="334155"/>
        </w:rPr>
        <w:t>A technical FEED (FEED is an input to FID, not the FID).</w:t>
      </w:r>
    </w:p>
    <w:p w14:paraId="409EAA3D" w14:textId="77777777" w:rsidR="006A70CC" w:rsidRDefault="00000000">
      <w:pPr>
        <w:pStyle w:val="ListParagraph"/>
        <w:numPr>
          <w:ilvl w:val="0"/>
          <w:numId w:val="2"/>
        </w:numPr>
        <w:spacing w:after="60" w:line="260" w:lineRule="auto"/>
      </w:pPr>
      <w:r>
        <w:rPr>
          <w:color w:val="334155"/>
        </w:rPr>
        <w:t>Authorisation to sign EPC contracts before independent review.</w:t>
      </w:r>
    </w:p>
    <w:p w14:paraId="21F5AA6C" w14:textId="77777777" w:rsidR="006A70CC" w:rsidRDefault="00000000">
      <w:pPr>
        <w:pStyle w:val="Heading2"/>
      </w:pPr>
      <w:r>
        <w:t>1.2 How to use it</w:t>
      </w:r>
    </w:p>
    <w:p w14:paraId="6897B6EA" w14:textId="77777777" w:rsidR="006A70CC" w:rsidRDefault="00000000">
      <w:pPr>
        <w:pStyle w:val="ListParagraph"/>
        <w:numPr>
          <w:ilvl w:val="0"/>
          <w:numId w:val="3"/>
        </w:numPr>
        <w:spacing w:after="60" w:line="260" w:lineRule="auto"/>
      </w:pPr>
      <w:r>
        <w:rPr>
          <w:color w:val="334155"/>
        </w:rPr>
        <w:t>Read sections 2 to 4 to align committee language (FID, gates, NPV).</w:t>
      </w:r>
    </w:p>
    <w:p w14:paraId="1F512C5D" w14:textId="77777777" w:rsidR="006A70CC" w:rsidRDefault="00000000">
      <w:pPr>
        <w:pStyle w:val="ListParagraph"/>
        <w:numPr>
          <w:ilvl w:val="0"/>
          <w:numId w:val="3"/>
        </w:numPr>
        <w:spacing w:after="60" w:line="260" w:lineRule="auto"/>
      </w:pPr>
      <w:r>
        <w:rPr>
          <w:color w:val="334155"/>
        </w:rPr>
        <w:t>Instantiate sections 5 to 8 on the live project (deliverables, uncertainty, risks).</w:t>
      </w:r>
    </w:p>
    <w:p w14:paraId="081FC135" w14:textId="77777777" w:rsidR="006A70CC" w:rsidRDefault="00000000">
      <w:pPr>
        <w:pStyle w:val="ListParagraph"/>
        <w:numPr>
          <w:ilvl w:val="0"/>
          <w:numId w:val="3"/>
        </w:numPr>
        <w:spacing w:after="60" w:line="260" w:lineRule="auto"/>
      </w:pPr>
      <w:r>
        <w:rPr>
          <w:color w:val="334155"/>
        </w:rPr>
        <w:t>Use section 9 as the table of contents of the committee binder.</w:t>
      </w:r>
    </w:p>
    <w:p w14:paraId="4543C46D" w14:textId="77777777" w:rsidR="006A70CC" w:rsidRDefault="00000000">
      <w:pPr>
        <w:pStyle w:val="ListParagraph"/>
        <w:numPr>
          <w:ilvl w:val="0"/>
          <w:numId w:val="3"/>
        </w:numPr>
        <w:spacing w:after="60" w:line="260" w:lineRule="auto"/>
      </w:pPr>
      <w:r>
        <w:rPr>
          <w:color w:val="334155"/>
        </w:rPr>
        <w:t>Run the section 14 checklists before sending the file to the committee secretariat.</w:t>
      </w:r>
    </w:p>
    <w:p w14:paraId="53D36FF3" w14:textId="77777777" w:rsidR="006A70CC" w:rsidRDefault="00000000">
      <w:pPr>
        <w:pStyle w:val="ListParagraph"/>
        <w:numPr>
          <w:ilvl w:val="0"/>
          <w:numId w:val="3"/>
        </w:numPr>
        <w:spacing w:after="60" w:line="260" w:lineRule="auto"/>
      </w:pPr>
      <w:r>
        <w:rPr>
          <w:color w:val="334155"/>
        </w:rPr>
        <w:t>Keep section 16 for interviews and the CV: same vocabulary, same discipline.</w:t>
      </w:r>
    </w:p>
    <w:p w14:paraId="717A9BC2" w14:textId="77777777" w:rsidR="006A70CC" w:rsidRDefault="00000000">
      <w:pPr>
        <w:pStyle w:val="Heading1"/>
        <w:pBdr>
          <w:bottom w:val="single" w:sz="12" w:space="4" w:color="1B365D"/>
        </w:pBdr>
      </w:pPr>
      <w:r>
        <w:t>2. What FID is — and why it changes everything</w:t>
      </w:r>
    </w:p>
    <w:p w14:paraId="07B6638E" w14:textId="77777777" w:rsidR="006A70CC" w:rsidRDefault="00000000">
      <w:pPr>
        <w:spacing w:after="120" w:line="276" w:lineRule="auto"/>
      </w:pPr>
      <w:r>
        <w:rPr>
          <w:color w:val="334155"/>
        </w:rPr>
        <w:t>The Final Investment Decision is the governance gate at which the competent authority (board, investment committee, joint venture) commits the major execution capital. Before FID, the organisation buys knowledge (studies, options, FEED). After FID, it buys reality (long-lead equipment, EPC, construction, commissioning).</w:t>
      </w:r>
    </w:p>
    <w:p w14:paraId="7B15FEA5" w14:textId="77777777" w:rsidR="006A70CC" w:rsidRDefault="00000000">
      <w:pPr>
        <w:spacing w:after="120" w:line="276" w:lineRule="auto"/>
      </w:pPr>
      <w:r>
        <w:rPr>
          <w:color w:val="334155"/>
        </w:rPr>
        <w:t>Managerial consequence: FID quality is judged by promised vs delivered three to five years later (capex, schedule, cash flows, HSE, ESG), not by enthusiasm in the room on decision day.</w:t>
      </w:r>
    </w:p>
    <w:p w14:paraId="15D70BC3" w14:textId="77777777" w:rsidR="006A70CC" w:rsidRDefault="00000000">
      <w:pPr>
        <w:pStyle w:val="Heading2"/>
      </w:pPr>
      <w:r>
        <w:t>2.1 Before / at / after FID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2612"/>
        <w:gridCol w:w="2613"/>
        <w:gridCol w:w="2613"/>
      </w:tblGrid>
      <w:tr w:rsidR="006A70CC" w14:paraId="4D92C5C2" w14:textId="77777777">
        <w:tblPrEx>
          <w:tblCellMar>
            <w:top w:w="0" w:type="dxa"/>
            <w:bottom w:w="0" w:type="dxa"/>
          </w:tblCellMar>
        </w:tblPrEx>
        <w:trPr>
          <w:tblHeader/>
        </w:trPr>
        <w:tc>
          <w:tcPr>
            <w:tcW w:w="1800" w:type="dxa"/>
            <w:tcBorders>
              <w:top w:val="single" w:sz="4" w:space="0" w:color="CBD5E1"/>
              <w:left w:val="single" w:sz="4" w:space="0" w:color="CBD5E1"/>
              <w:bottom w:val="single" w:sz="4" w:space="0" w:color="CBD5E1"/>
              <w:right w:val="single" w:sz="4" w:space="0" w:color="CBD5E1"/>
            </w:tcBorders>
            <w:shd w:val="clear" w:color="auto" w:fill="1B365D"/>
            <w:tcMar>
              <w:top w:w="60" w:type="dxa"/>
              <w:left w:w="80" w:type="dxa"/>
              <w:bottom w:w="60" w:type="dxa"/>
              <w:right w:w="80" w:type="dxa"/>
            </w:tcMar>
            <w:vAlign w:val="center"/>
          </w:tcPr>
          <w:p w14:paraId="75EAE911" w14:textId="77777777" w:rsidR="006A70CC" w:rsidRDefault="006A70CC"/>
        </w:tc>
        <w:tc>
          <w:tcPr>
            <w:tcW w:w="2612" w:type="dxa"/>
            <w:tcBorders>
              <w:top w:val="single" w:sz="4" w:space="0" w:color="CBD5E1"/>
              <w:left w:val="single" w:sz="4" w:space="0" w:color="CBD5E1"/>
              <w:bottom w:val="single" w:sz="4" w:space="0" w:color="CBD5E1"/>
              <w:right w:val="single" w:sz="4" w:space="0" w:color="CBD5E1"/>
            </w:tcBorders>
            <w:shd w:val="clear" w:color="auto" w:fill="1B365D"/>
            <w:tcMar>
              <w:top w:w="60" w:type="dxa"/>
              <w:left w:w="80" w:type="dxa"/>
              <w:bottom w:w="60" w:type="dxa"/>
              <w:right w:w="80" w:type="dxa"/>
            </w:tcMar>
            <w:vAlign w:val="center"/>
          </w:tcPr>
          <w:p w14:paraId="4FFC17FA" w14:textId="77777777" w:rsidR="006A70CC" w:rsidRDefault="00000000">
            <w:r>
              <w:rPr>
                <w:b/>
                <w:bCs/>
                <w:color w:val="FFFFFF"/>
                <w:sz w:val="17"/>
                <w:szCs w:val="17"/>
              </w:rPr>
              <w:t>Before FID</w:t>
            </w:r>
          </w:p>
        </w:tc>
        <w:tc>
          <w:tcPr>
            <w:tcW w:w="2613" w:type="dxa"/>
            <w:tcBorders>
              <w:top w:val="single" w:sz="4" w:space="0" w:color="CBD5E1"/>
              <w:left w:val="single" w:sz="4" w:space="0" w:color="CBD5E1"/>
              <w:bottom w:val="single" w:sz="4" w:space="0" w:color="CBD5E1"/>
              <w:right w:val="single" w:sz="4" w:space="0" w:color="CBD5E1"/>
            </w:tcBorders>
            <w:shd w:val="clear" w:color="auto" w:fill="1B365D"/>
            <w:tcMar>
              <w:top w:w="60" w:type="dxa"/>
              <w:left w:w="80" w:type="dxa"/>
              <w:bottom w:w="60" w:type="dxa"/>
              <w:right w:w="80" w:type="dxa"/>
            </w:tcMar>
            <w:vAlign w:val="center"/>
          </w:tcPr>
          <w:p w14:paraId="1530B3C1" w14:textId="77777777" w:rsidR="006A70CC" w:rsidRDefault="00000000">
            <w:r>
              <w:rPr>
                <w:b/>
                <w:bCs/>
                <w:color w:val="FFFFFF"/>
                <w:sz w:val="17"/>
                <w:szCs w:val="17"/>
              </w:rPr>
              <w:t>At FID</w:t>
            </w:r>
          </w:p>
        </w:tc>
        <w:tc>
          <w:tcPr>
            <w:tcW w:w="2613" w:type="dxa"/>
            <w:tcBorders>
              <w:top w:val="single" w:sz="4" w:space="0" w:color="CBD5E1"/>
              <w:left w:val="single" w:sz="4" w:space="0" w:color="CBD5E1"/>
              <w:bottom w:val="single" w:sz="4" w:space="0" w:color="CBD5E1"/>
              <w:right w:val="single" w:sz="4" w:space="0" w:color="CBD5E1"/>
            </w:tcBorders>
            <w:shd w:val="clear" w:color="auto" w:fill="1B365D"/>
            <w:tcMar>
              <w:top w:w="60" w:type="dxa"/>
              <w:left w:w="80" w:type="dxa"/>
              <w:bottom w:w="60" w:type="dxa"/>
              <w:right w:w="80" w:type="dxa"/>
            </w:tcMar>
            <w:vAlign w:val="center"/>
          </w:tcPr>
          <w:p w14:paraId="086CB61A" w14:textId="77777777" w:rsidR="006A70CC" w:rsidRDefault="00000000">
            <w:r>
              <w:rPr>
                <w:b/>
                <w:bCs/>
                <w:color w:val="FFFFFF"/>
                <w:sz w:val="17"/>
                <w:szCs w:val="17"/>
              </w:rPr>
              <w:t>After FID</w:t>
            </w:r>
          </w:p>
        </w:tc>
      </w:tr>
      <w:tr w:rsidR="006A70CC" w14:paraId="2C045CF7" w14:textId="77777777">
        <w:tblPrEx>
          <w:tblCellMar>
            <w:top w:w="0" w:type="dxa"/>
            <w:bottom w:w="0" w:type="dxa"/>
          </w:tblCellMar>
        </w:tblPrEx>
        <w:tc>
          <w:tcPr>
            <w:tcW w:w="18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12B973CE" w14:textId="77777777" w:rsidR="006A70CC" w:rsidRDefault="00000000">
            <w:r>
              <w:rPr>
                <w:color w:val="334155"/>
                <w:sz w:val="17"/>
                <w:szCs w:val="17"/>
              </w:rPr>
              <w:t>Nature of spend</w:t>
            </w:r>
          </w:p>
        </w:tc>
        <w:tc>
          <w:tcPr>
            <w:tcW w:w="2612"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6F9C4E85" w14:textId="77777777" w:rsidR="006A70CC" w:rsidRDefault="00000000">
            <w:r>
              <w:rPr>
                <w:color w:val="334155"/>
                <w:sz w:val="17"/>
                <w:szCs w:val="17"/>
              </w:rPr>
              <w:t>Studies, options, FEED</w:t>
            </w:r>
          </w:p>
        </w:tc>
        <w:tc>
          <w:tcPr>
            <w:tcW w:w="2613"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5A7D365B" w14:textId="77777777" w:rsidR="006A70CC" w:rsidRDefault="00000000">
            <w:r>
              <w:rPr>
                <w:color w:val="334155"/>
                <w:sz w:val="17"/>
                <w:szCs w:val="17"/>
              </w:rPr>
              <w:t xml:space="preserve">Capex commitment + launch </w:t>
            </w:r>
            <w:proofErr w:type="spellStart"/>
            <w:r>
              <w:rPr>
                <w:color w:val="334155"/>
                <w:sz w:val="17"/>
                <w:szCs w:val="17"/>
              </w:rPr>
              <w:t>opex</w:t>
            </w:r>
            <w:proofErr w:type="spellEnd"/>
          </w:p>
        </w:tc>
        <w:tc>
          <w:tcPr>
            <w:tcW w:w="2613"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109B2C6F" w14:textId="77777777" w:rsidR="006A70CC" w:rsidRDefault="00000000">
            <w:r>
              <w:rPr>
                <w:color w:val="334155"/>
                <w:sz w:val="17"/>
                <w:szCs w:val="17"/>
              </w:rPr>
              <w:t>Execute, commission, operate</w:t>
            </w:r>
          </w:p>
        </w:tc>
      </w:tr>
      <w:tr w:rsidR="006A70CC" w14:paraId="13492CDA" w14:textId="77777777">
        <w:tblPrEx>
          <w:tblCellMar>
            <w:top w:w="0" w:type="dxa"/>
            <w:bottom w:w="0" w:type="dxa"/>
          </w:tblCellMar>
        </w:tblPrEx>
        <w:tc>
          <w:tcPr>
            <w:tcW w:w="18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3E6F43E0" w14:textId="77777777" w:rsidR="006A70CC" w:rsidRDefault="00000000">
            <w:r>
              <w:rPr>
                <w:color w:val="334155"/>
                <w:sz w:val="17"/>
                <w:szCs w:val="17"/>
              </w:rPr>
              <w:t>Typical cost uncertainty</w:t>
            </w:r>
          </w:p>
        </w:tc>
        <w:tc>
          <w:tcPr>
            <w:tcW w:w="2612"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4D8BC18A" w14:textId="77777777" w:rsidR="006A70CC" w:rsidRDefault="00000000">
            <w:r>
              <w:rPr>
                <w:color w:val="334155"/>
                <w:sz w:val="17"/>
                <w:szCs w:val="17"/>
              </w:rPr>
              <w:t>±50%, then ±30%, then ±10–15%</w:t>
            </w:r>
          </w:p>
        </w:tc>
        <w:tc>
          <w:tcPr>
            <w:tcW w:w="2613"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058CAAD2" w14:textId="77777777" w:rsidR="006A70CC" w:rsidRDefault="00000000">
            <w:r>
              <w:rPr>
                <w:color w:val="334155"/>
                <w:sz w:val="17"/>
                <w:szCs w:val="17"/>
              </w:rPr>
              <w:t>Commitment-class estimate</w:t>
            </w:r>
          </w:p>
        </w:tc>
        <w:tc>
          <w:tcPr>
            <w:tcW w:w="2613"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0081EC0C" w14:textId="77777777" w:rsidR="006A70CC" w:rsidRDefault="00000000">
            <w:r>
              <w:rPr>
                <w:color w:val="334155"/>
                <w:sz w:val="17"/>
                <w:szCs w:val="17"/>
              </w:rPr>
              <w:t>Control vs baseline</w:t>
            </w:r>
          </w:p>
        </w:tc>
      </w:tr>
      <w:tr w:rsidR="006A70CC" w14:paraId="74C81F03" w14:textId="77777777">
        <w:tblPrEx>
          <w:tblCellMar>
            <w:top w:w="0" w:type="dxa"/>
            <w:bottom w:w="0" w:type="dxa"/>
          </w:tblCellMar>
        </w:tblPrEx>
        <w:tc>
          <w:tcPr>
            <w:tcW w:w="18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794A6C47" w14:textId="77777777" w:rsidR="006A70CC" w:rsidRDefault="00000000">
            <w:r>
              <w:rPr>
                <w:color w:val="334155"/>
                <w:sz w:val="17"/>
                <w:szCs w:val="17"/>
              </w:rPr>
              <w:t>Governance question</w:t>
            </w:r>
          </w:p>
        </w:tc>
        <w:tc>
          <w:tcPr>
            <w:tcW w:w="2612"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3728D744" w14:textId="77777777" w:rsidR="006A70CC" w:rsidRDefault="00000000">
            <w:r>
              <w:rPr>
                <w:color w:val="334155"/>
                <w:sz w:val="17"/>
                <w:szCs w:val="17"/>
              </w:rPr>
              <w:t>Should we keep studying?</w:t>
            </w:r>
          </w:p>
        </w:tc>
        <w:tc>
          <w:tcPr>
            <w:tcW w:w="2613"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34D72A57" w14:textId="77777777" w:rsidR="006A70CC" w:rsidRDefault="00000000">
            <w:r>
              <w:rPr>
                <w:color w:val="334155"/>
                <w:sz w:val="17"/>
                <w:szCs w:val="17"/>
              </w:rPr>
              <w:t>Do we commit the capital?</w:t>
            </w:r>
          </w:p>
        </w:tc>
        <w:tc>
          <w:tcPr>
            <w:tcW w:w="2613"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3D800EE4" w14:textId="77777777" w:rsidR="006A70CC" w:rsidRDefault="00000000">
            <w:r>
              <w:rPr>
                <w:color w:val="334155"/>
                <w:sz w:val="17"/>
                <w:szCs w:val="17"/>
              </w:rPr>
              <w:t>Are we delivering the promised value?</w:t>
            </w:r>
          </w:p>
        </w:tc>
      </w:tr>
      <w:tr w:rsidR="006A70CC" w14:paraId="609761E3" w14:textId="77777777">
        <w:tblPrEx>
          <w:tblCellMar>
            <w:top w:w="0" w:type="dxa"/>
            <w:bottom w:w="0" w:type="dxa"/>
          </w:tblCellMar>
        </w:tblPrEx>
        <w:tc>
          <w:tcPr>
            <w:tcW w:w="18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3C5A9C4B" w14:textId="77777777" w:rsidR="006A70CC" w:rsidRDefault="00000000">
            <w:r>
              <w:rPr>
                <w:color w:val="334155"/>
                <w:sz w:val="17"/>
                <w:szCs w:val="17"/>
              </w:rPr>
              <w:t>Possible outcome</w:t>
            </w:r>
          </w:p>
        </w:tc>
        <w:tc>
          <w:tcPr>
            <w:tcW w:w="2612"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7B2AB9CA" w14:textId="77777777" w:rsidR="006A70CC" w:rsidRDefault="00000000">
            <w:r>
              <w:rPr>
                <w:color w:val="334155"/>
                <w:sz w:val="17"/>
                <w:szCs w:val="17"/>
              </w:rPr>
              <w:t>Go / Recycle / Kill</w:t>
            </w:r>
          </w:p>
        </w:tc>
        <w:tc>
          <w:tcPr>
            <w:tcW w:w="2613"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312684B4" w14:textId="77777777" w:rsidR="006A70CC" w:rsidRDefault="00000000">
            <w:r>
              <w:rPr>
                <w:color w:val="334155"/>
                <w:sz w:val="17"/>
                <w:szCs w:val="17"/>
              </w:rPr>
              <w:t>Approve / Defer / Reject</w:t>
            </w:r>
          </w:p>
        </w:tc>
        <w:tc>
          <w:tcPr>
            <w:tcW w:w="2613"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2DBDACB5" w14:textId="77777777" w:rsidR="006A70CC" w:rsidRDefault="00000000">
            <w:r>
              <w:rPr>
                <w:color w:val="334155"/>
                <w:sz w:val="17"/>
                <w:szCs w:val="17"/>
              </w:rPr>
              <w:t>Change control, lookback</w:t>
            </w:r>
          </w:p>
        </w:tc>
      </w:tr>
      <w:tr w:rsidR="006A70CC" w14:paraId="2830B655" w14:textId="77777777">
        <w:tblPrEx>
          <w:tblCellMar>
            <w:top w:w="0" w:type="dxa"/>
            <w:bottom w:w="0" w:type="dxa"/>
          </w:tblCellMar>
        </w:tblPrEx>
        <w:tc>
          <w:tcPr>
            <w:tcW w:w="18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2A931BE8" w14:textId="77777777" w:rsidR="006A70CC" w:rsidRDefault="00000000">
            <w:r>
              <w:rPr>
                <w:color w:val="334155"/>
                <w:sz w:val="17"/>
                <w:szCs w:val="17"/>
              </w:rPr>
              <w:t>Dominant bias</w:t>
            </w:r>
          </w:p>
        </w:tc>
        <w:tc>
          <w:tcPr>
            <w:tcW w:w="2612"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68A24FF9" w14:textId="77777777" w:rsidR="006A70CC" w:rsidRDefault="00000000">
            <w:r>
              <w:rPr>
                <w:color w:val="334155"/>
                <w:sz w:val="17"/>
                <w:szCs w:val="17"/>
              </w:rPr>
              <w:t>Overconfidence, champion bias</w:t>
            </w:r>
          </w:p>
        </w:tc>
        <w:tc>
          <w:tcPr>
            <w:tcW w:w="2613"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35E2E23E" w14:textId="77777777" w:rsidR="006A70CC" w:rsidRDefault="00000000">
            <w:r>
              <w:rPr>
                <w:color w:val="334155"/>
                <w:sz w:val="17"/>
                <w:szCs w:val="17"/>
              </w:rPr>
              <w:t>Sunk-cost, confirmation</w:t>
            </w:r>
          </w:p>
        </w:tc>
        <w:tc>
          <w:tcPr>
            <w:tcW w:w="2613"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5C0E35BF" w14:textId="77777777" w:rsidR="006A70CC" w:rsidRDefault="00000000">
            <w:r>
              <w:rPr>
                <w:color w:val="334155"/>
                <w:sz w:val="17"/>
                <w:szCs w:val="17"/>
              </w:rPr>
              <w:t>Planning fallacy realised</w:t>
            </w:r>
          </w:p>
        </w:tc>
      </w:tr>
    </w:tbl>
    <w:p w14:paraId="6FCF9B77" w14:textId="77777777" w:rsidR="006A70CC" w:rsidRDefault="00000000">
      <w:pPr>
        <w:spacing w:before="40" w:after="200" w:line="276" w:lineRule="auto"/>
      </w:pPr>
      <w:r>
        <w:rPr>
          <w:i/>
          <w:iCs/>
          <w:color w:val="64748B"/>
          <w:sz w:val="16"/>
          <w:szCs w:val="16"/>
        </w:rPr>
        <w:t>Table 1 — FID as a change of spending regime and governance regime.</w:t>
      </w:r>
    </w:p>
    <w:p w14:paraId="0A8C141A" w14:textId="77777777" w:rsidR="006A70CC" w:rsidRDefault="00000000">
      <w:pPr>
        <w:pStyle w:val="Heading2"/>
      </w:pPr>
      <w:r>
        <w:t>2.2 The three committee outcomes</w:t>
      </w:r>
    </w:p>
    <w:p w14:paraId="3AEBE444" w14:textId="77777777" w:rsidR="006A70CC" w:rsidRDefault="00000000">
      <w:pPr>
        <w:pStyle w:val="ListParagraph"/>
        <w:numPr>
          <w:ilvl w:val="0"/>
          <w:numId w:val="2"/>
        </w:numPr>
        <w:spacing w:after="60" w:line="260" w:lineRule="auto"/>
      </w:pPr>
      <w:r>
        <w:rPr>
          <w:b/>
          <w:bCs/>
          <w:color w:val="334155"/>
        </w:rPr>
        <w:t xml:space="preserve">Approve. </w:t>
      </w:r>
      <w:r>
        <w:rPr>
          <w:color w:val="334155"/>
        </w:rPr>
        <w:t>Execution budget is opened, often with conditions precedent (financial close, final permit, partner FIDs, hedges).</w:t>
      </w:r>
    </w:p>
    <w:p w14:paraId="06A0CEBC" w14:textId="77777777" w:rsidR="006A70CC" w:rsidRDefault="00000000">
      <w:pPr>
        <w:pStyle w:val="ListParagraph"/>
        <w:numPr>
          <w:ilvl w:val="0"/>
          <w:numId w:val="2"/>
        </w:numPr>
        <w:spacing w:after="60" w:line="260" w:lineRule="auto"/>
      </w:pPr>
      <w:r>
        <w:rPr>
          <w:b/>
          <w:bCs/>
          <w:color w:val="334155"/>
        </w:rPr>
        <w:t xml:space="preserve">Defer / Recycle. </w:t>
      </w:r>
      <w:r>
        <w:rPr>
          <w:color w:val="334155"/>
        </w:rPr>
        <w:t>The project can still create value, but timing, price, scope or funding are not mature. Do not kill it: send it back to the previous gate.</w:t>
      </w:r>
    </w:p>
    <w:p w14:paraId="6227C774" w14:textId="77777777" w:rsidR="006A70CC" w:rsidRDefault="00000000">
      <w:pPr>
        <w:pStyle w:val="ListParagraph"/>
        <w:numPr>
          <w:ilvl w:val="0"/>
          <w:numId w:val="2"/>
        </w:numPr>
        <w:spacing w:after="60" w:line="260" w:lineRule="auto"/>
      </w:pPr>
      <w:r>
        <w:rPr>
          <w:b/>
          <w:bCs/>
          <w:color w:val="334155"/>
        </w:rPr>
        <w:lastRenderedPageBreak/>
        <w:t xml:space="preserve">Reject / Kill. </w:t>
      </w:r>
      <w:r>
        <w:rPr>
          <w:color w:val="334155"/>
        </w:rPr>
        <w:t>NPV is not robust, risk is uninsurable, capital has a better use elsewhere, or there is no strategic fit.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6A70CC" w14:paraId="6B826851" w14:textId="77777777">
        <w:tblPrEx>
          <w:tblCellMar>
            <w:top w:w="0" w:type="dxa"/>
            <w:bottom w:w="0" w:type="dxa"/>
          </w:tblCellMar>
        </w:tblPrEx>
        <w:tc>
          <w:tcPr>
            <w:tcW w:w="9638" w:type="dxa"/>
            <w:tcBorders>
              <w:top w:val="single" w:sz="16" w:space="0" w:color="B91C1C"/>
              <w:left w:val="single" w:sz="4" w:space="0" w:color="CBD5E1"/>
              <w:bottom w:val="single" w:sz="4" w:space="0" w:color="CBD5E1"/>
              <w:right w:val="single" w:sz="4" w:space="0" w:color="CBD5E1"/>
            </w:tcBorders>
            <w:shd w:val="clear" w:color="auto" w:fill="FEF2F2"/>
            <w:tcMar>
              <w:top w:w="100" w:type="dxa"/>
              <w:left w:w="140" w:type="dxa"/>
              <w:bottom w:w="100" w:type="dxa"/>
              <w:right w:w="140" w:type="dxa"/>
            </w:tcMar>
          </w:tcPr>
          <w:p w14:paraId="2B1BA015" w14:textId="77777777" w:rsidR="006A70CC" w:rsidRDefault="00000000">
            <w:pPr>
              <w:spacing w:after="60" w:line="276" w:lineRule="auto"/>
            </w:pPr>
            <w:r>
              <w:rPr>
                <w:b/>
                <w:bCs/>
                <w:color w:val="B91C1C"/>
                <w:sz w:val="20"/>
                <w:szCs w:val="20"/>
              </w:rPr>
              <w:t>LSE discipline — sunk-cost fallacy (Module 8)</w:t>
            </w:r>
          </w:p>
          <w:p w14:paraId="5DD91188" w14:textId="77777777" w:rsidR="006A70CC" w:rsidRDefault="00000000">
            <w:pPr>
              <w:spacing w:after="40" w:line="276" w:lineRule="auto"/>
            </w:pPr>
            <w:r>
              <w:rPr>
                <w:color w:val="334155"/>
                <w:sz w:val="20"/>
                <w:szCs w:val="20"/>
              </w:rPr>
              <w:t>The millions already spent on pre-feasibility and FEED are irrecoverable. They do not enter the FID calculation. The committee judges the remaining project: future cash flows versus capex still to be committed, discounted at the required rate. Continuing 'because we have invested too much in studies' is precisely the error LSE teaches you to avoid.</w:t>
            </w:r>
          </w:p>
        </w:tc>
      </w:tr>
    </w:tbl>
    <w:p w14:paraId="04E8EA6F" w14:textId="77777777" w:rsidR="006A70CC" w:rsidRDefault="00000000">
      <w:pPr>
        <w:pStyle w:val="Heading1"/>
        <w:pBdr>
          <w:bottom w:val="single" w:sz="12" w:space="4" w:color="1B365D"/>
        </w:pBdr>
      </w:pPr>
      <w:r>
        <w:t xml:space="preserve">3. LSE MBA Essentials — what belongs inside </w:t>
      </w:r>
      <w:proofErr w:type="gramStart"/>
      <w:r>
        <w:t>a</w:t>
      </w:r>
      <w:proofErr w:type="gramEnd"/>
      <w:r>
        <w:t xml:space="preserve"> FID</w:t>
      </w:r>
    </w:p>
    <w:p w14:paraId="7676534D" w14:textId="77777777" w:rsidR="006A70CC" w:rsidRDefault="00000000">
      <w:pPr>
        <w:spacing w:after="120" w:line="276" w:lineRule="auto"/>
      </w:pPr>
      <w:r>
        <w:rPr>
          <w:color w:val="334155"/>
        </w:rPr>
        <w:t xml:space="preserve">The LSE MBA Essentials certificate (February–April 2023) does not use the word FID. It does, however, supply the entire judgement system that </w:t>
      </w:r>
      <w:proofErr w:type="gramStart"/>
      <w:r>
        <w:rPr>
          <w:color w:val="334155"/>
        </w:rPr>
        <w:t>a</w:t>
      </w:r>
      <w:proofErr w:type="gramEnd"/>
      <w:r>
        <w:rPr>
          <w:color w:val="334155"/>
        </w:rPr>
        <w:t xml:space="preserve"> FID requires. The mapping below is what you quote in committee and in interviews.</w:t>
      </w:r>
    </w:p>
    <w:p w14:paraId="3466ACE8" w14:textId="77777777" w:rsidR="006A70CC" w:rsidRDefault="00000000">
      <w:pPr>
        <w:pStyle w:val="Heading2"/>
      </w:pPr>
      <w:r>
        <w:t>3.1 Modules used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3000"/>
        <w:gridCol w:w="4838"/>
      </w:tblGrid>
      <w:tr w:rsidR="006A70CC" w14:paraId="33C41B68" w14:textId="77777777">
        <w:tblPrEx>
          <w:tblCellMar>
            <w:top w:w="0" w:type="dxa"/>
            <w:bottom w:w="0" w:type="dxa"/>
          </w:tblCellMar>
        </w:tblPrEx>
        <w:trPr>
          <w:tblHeader/>
        </w:trPr>
        <w:tc>
          <w:tcPr>
            <w:tcW w:w="1800" w:type="dxa"/>
            <w:tcBorders>
              <w:top w:val="single" w:sz="4" w:space="0" w:color="CBD5E1"/>
              <w:left w:val="single" w:sz="4" w:space="0" w:color="CBD5E1"/>
              <w:bottom w:val="single" w:sz="4" w:space="0" w:color="CBD5E1"/>
              <w:right w:val="single" w:sz="4" w:space="0" w:color="CBD5E1"/>
            </w:tcBorders>
            <w:shd w:val="clear" w:color="auto" w:fill="1B365D"/>
            <w:tcMar>
              <w:top w:w="60" w:type="dxa"/>
              <w:left w:w="80" w:type="dxa"/>
              <w:bottom w:w="60" w:type="dxa"/>
              <w:right w:w="80" w:type="dxa"/>
            </w:tcMar>
            <w:vAlign w:val="center"/>
          </w:tcPr>
          <w:p w14:paraId="62040464" w14:textId="77777777" w:rsidR="006A70CC" w:rsidRDefault="00000000">
            <w:r>
              <w:rPr>
                <w:b/>
                <w:bCs/>
                <w:color w:val="FFFFFF"/>
                <w:sz w:val="17"/>
                <w:szCs w:val="17"/>
              </w:rPr>
              <w:t>LSE module</w:t>
            </w:r>
          </w:p>
        </w:tc>
        <w:tc>
          <w:tcPr>
            <w:tcW w:w="3000" w:type="dxa"/>
            <w:tcBorders>
              <w:top w:val="single" w:sz="4" w:space="0" w:color="CBD5E1"/>
              <w:left w:val="single" w:sz="4" w:space="0" w:color="CBD5E1"/>
              <w:bottom w:val="single" w:sz="4" w:space="0" w:color="CBD5E1"/>
              <w:right w:val="single" w:sz="4" w:space="0" w:color="CBD5E1"/>
            </w:tcBorders>
            <w:shd w:val="clear" w:color="auto" w:fill="1B365D"/>
            <w:tcMar>
              <w:top w:w="60" w:type="dxa"/>
              <w:left w:w="80" w:type="dxa"/>
              <w:bottom w:w="60" w:type="dxa"/>
              <w:right w:w="80" w:type="dxa"/>
            </w:tcMar>
            <w:vAlign w:val="center"/>
          </w:tcPr>
          <w:p w14:paraId="4F294E70" w14:textId="77777777" w:rsidR="006A70CC" w:rsidRDefault="00000000">
            <w:r>
              <w:rPr>
                <w:b/>
                <w:bCs/>
                <w:color w:val="FFFFFF"/>
                <w:sz w:val="17"/>
                <w:szCs w:val="17"/>
              </w:rPr>
              <w:t>Concept</w:t>
            </w:r>
          </w:p>
        </w:tc>
        <w:tc>
          <w:tcPr>
            <w:tcW w:w="4838" w:type="dxa"/>
            <w:tcBorders>
              <w:top w:val="single" w:sz="4" w:space="0" w:color="CBD5E1"/>
              <w:left w:val="single" w:sz="4" w:space="0" w:color="CBD5E1"/>
              <w:bottom w:val="single" w:sz="4" w:space="0" w:color="CBD5E1"/>
              <w:right w:val="single" w:sz="4" w:space="0" w:color="CBD5E1"/>
            </w:tcBorders>
            <w:shd w:val="clear" w:color="auto" w:fill="1B365D"/>
            <w:tcMar>
              <w:top w:w="60" w:type="dxa"/>
              <w:left w:w="80" w:type="dxa"/>
              <w:bottom w:w="60" w:type="dxa"/>
              <w:right w:w="80" w:type="dxa"/>
            </w:tcMar>
            <w:vAlign w:val="center"/>
          </w:tcPr>
          <w:p w14:paraId="7EB2FDEB" w14:textId="77777777" w:rsidR="006A70CC" w:rsidRDefault="00000000">
            <w:r>
              <w:rPr>
                <w:b/>
                <w:bCs/>
                <w:color w:val="FFFFFF"/>
                <w:sz w:val="17"/>
                <w:szCs w:val="17"/>
              </w:rPr>
              <w:t>Use on the path to FID</w:t>
            </w:r>
          </w:p>
        </w:tc>
      </w:tr>
      <w:tr w:rsidR="006A70CC" w14:paraId="2713FF40" w14:textId="77777777">
        <w:tblPrEx>
          <w:tblCellMar>
            <w:top w:w="0" w:type="dxa"/>
            <w:bottom w:w="0" w:type="dxa"/>
          </w:tblCellMar>
        </w:tblPrEx>
        <w:tc>
          <w:tcPr>
            <w:tcW w:w="18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055C2200" w14:textId="77777777" w:rsidR="006A70CC" w:rsidRDefault="00000000">
            <w:r>
              <w:rPr>
                <w:color w:val="334155"/>
                <w:sz w:val="17"/>
                <w:szCs w:val="17"/>
              </w:rPr>
              <w:t>M3–M4 Strategy</w:t>
            </w:r>
          </w:p>
        </w:tc>
        <w:tc>
          <w:tcPr>
            <w:tcW w:w="30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3A911CD6" w14:textId="77777777" w:rsidR="006A70CC" w:rsidRDefault="00000000">
            <w:r>
              <w:rPr>
                <w:color w:val="334155"/>
                <w:sz w:val="17"/>
                <w:szCs w:val="17"/>
              </w:rPr>
              <w:t>Value chain, advantage, make-or-buy, M&amp;A</w:t>
            </w:r>
          </w:p>
        </w:tc>
        <w:tc>
          <w:tcPr>
            <w:tcW w:w="4838"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6C0C187A" w14:textId="77777777" w:rsidR="006A70CC" w:rsidRDefault="00000000">
            <w:r>
              <w:rPr>
                <w:color w:val="334155"/>
                <w:sz w:val="17"/>
                <w:szCs w:val="17"/>
              </w:rPr>
              <w:t>Why this project, now; concept options</w:t>
            </w:r>
          </w:p>
        </w:tc>
      </w:tr>
      <w:tr w:rsidR="006A70CC" w14:paraId="06F058E7" w14:textId="77777777">
        <w:tblPrEx>
          <w:tblCellMar>
            <w:top w:w="0" w:type="dxa"/>
            <w:bottom w:w="0" w:type="dxa"/>
          </w:tblCellMar>
        </w:tblPrEx>
        <w:tc>
          <w:tcPr>
            <w:tcW w:w="18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4534088D" w14:textId="77777777" w:rsidR="006A70CC" w:rsidRDefault="00000000">
            <w:r>
              <w:rPr>
                <w:color w:val="334155"/>
                <w:sz w:val="17"/>
                <w:szCs w:val="17"/>
              </w:rPr>
              <w:t>M5 Accounting</w:t>
            </w:r>
          </w:p>
        </w:tc>
        <w:tc>
          <w:tcPr>
            <w:tcW w:w="30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7838DBF1" w14:textId="77777777" w:rsidR="006A70CC" w:rsidRDefault="00000000">
            <w:r>
              <w:rPr>
                <w:color w:val="334155"/>
                <w:sz w:val="17"/>
                <w:szCs w:val="17"/>
              </w:rPr>
              <w:t>P&amp;L, balance sheet, cash flows, basic ratios</w:t>
            </w:r>
          </w:p>
        </w:tc>
        <w:tc>
          <w:tcPr>
            <w:tcW w:w="4838"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385A9AC5" w14:textId="77777777" w:rsidR="006A70CC" w:rsidRDefault="00000000">
            <w:r>
              <w:rPr>
                <w:color w:val="334155"/>
                <w:sz w:val="17"/>
                <w:szCs w:val="17"/>
              </w:rPr>
              <w:t>Read the balance-sheet / liquidity impact of capex</w:t>
            </w:r>
          </w:p>
        </w:tc>
      </w:tr>
      <w:tr w:rsidR="006A70CC" w14:paraId="331BBD81" w14:textId="77777777">
        <w:tblPrEx>
          <w:tblCellMar>
            <w:top w:w="0" w:type="dxa"/>
            <w:bottom w:w="0" w:type="dxa"/>
          </w:tblCellMar>
        </w:tblPrEx>
        <w:tc>
          <w:tcPr>
            <w:tcW w:w="18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4D8F4785" w14:textId="77777777" w:rsidR="006A70CC" w:rsidRDefault="00000000">
            <w:r>
              <w:rPr>
                <w:color w:val="334155"/>
                <w:sz w:val="17"/>
                <w:szCs w:val="17"/>
              </w:rPr>
              <w:t>M6 Management accounting</w:t>
            </w:r>
          </w:p>
        </w:tc>
        <w:tc>
          <w:tcPr>
            <w:tcW w:w="30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0CB79C9A" w14:textId="77777777" w:rsidR="006A70CC" w:rsidRDefault="00000000">
            <w:r>
              <w:rPr>
                <w:color w:val="334155"/>
                <w:sz w:val="17"/>
                <w:szCs w:val="17"/>
              </w:rPr>
              <w:t xml:space="preserve">Budgets, costs, </w:t>
            </w:r>
            <w:proofErr w:type="gramStart"/>
            <w:r>
              <w:rPr>
                <w:color w:val="334155"/>
                <w:sz w:val="17"/>
                <w:szCs w:val="17"/>
              </w:rPr>
              <w:t>life-cycle</w:t>
            </w:r>
            <w:proofErr w:type="gramEnd"/>
            <w:r>
              <w:rPr>
                <w:color w:val="334155"/>
                <w:sz w:val="17"/>
                <w:szCs w:val="17"/>
              </w:rPr>
              <w:t>, target costing</w:t>
            </w:r>
          </w:p>
        </w:tc>
        <w:tc>
          <w:tcPr>
            <w:tcW w:w="4838"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7AFF66E8" w14:textId="77777777" w:rsidR="006A70CC" w:rsidRDefault="00000000">
            <w:r>
              <w:rPr>
                <w:color w:val="334155"/>
                <w:sz w:val="17"/>
                <w:szCs w:val="17"/>
              </w:rPr>
              <w:t xml:space="preserve">Capex + </w:t>
            </w:r>
            <w:proofErr w:type="spellStart"/>
            <w:r>
              <w:rPr>
                <w:color w:val="334155"/>
                <w:sz w:val="17"/>
                <w:szCs w:val="17"/>
              </w:rPr>
              <w:t>opex</w:t>
            </w:r>
            <w:proofErr w:type="spellEnd"/>
            <w:r>
              <w:rPr>
                <w:color w:val="334155"/>
                <w:sz w:val="17"/>
                <w:szCs w:val="17"/>
              </w:rPr>
              <w:t xml:space="preserve"> + decommissioning; design-to-cost</w:t>
            </w:r>
          </w:p>
        </w:tc>
      </w:tr>
      <w:tr w:rsidR="006A70CC" w14:paraId="7C9BCAD0" w14:textId="77777777">
        <w:tblPrEx>
          <w:tblCellMar>
            <w:top w:w="0" w:type="dxa"/>
            <w:bottom w:w="0" w:type="dxa"/>
          </w:tblCellMar>
        </w:tblPrEx>
        <w:tc>
          <w:tcPr>
            <w:tcW w:w="18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4A41D501" w14:textId="77777777" w:rsidR="006A70CC" w:rsidRDefault="00000000">
            <w:r>
              <w:rPr>
                <w:color w:val="334155"/>
                <w:sz w:val="17"/>
                <w:szCs w:val="17"/>
              </w:rPr>
              <w:t>M6 Unit 4</w:t>
            </w:r>
          </w:p>
        </w:tc>
        <w:tc>
          <w:tcPr>
            <w:tcW w:w="30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5A956AB8" w14:textId="77777777" w:rsidR="006A70CC" w:rsidRDefault="00000000">
            <w:r>
              <w:rPr>
                <w:color w:val="334155"/>
                <w:sz w:val="17"/>
                <w:szCs w:val="17"/>
              </w:rPr>
              <w:t>ARR, Payback, NPV, IRR</w:t>
            </w:r>
          </w:p>
        </w:tc>
        <w:tc>
          <w:tcPr>
            <w:tcW w:w="4838"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312BE924" w14:textId="77777777" w:rsidR="006A70CC" w:rsidRDefault="00000000">
            <w:r>
              <w:rPr>
                <w:color w:val="334155"/>
                <w:sz w:val="17"/>
                <w:szCs w:val="17"/>
              </w:rPr>
              <w:t>Core of the investment-appraisal pack</w:t>
            </w:r>
          </w:p>
        </w:tc>
      </w:tr>
      <w:tr w:rsidR="006A70CC" w14:paraId="50FC63B3" w14:textId="77777777">
        <w:tblPrEx>
          <w:tblCellMar>
            <w:top w:w="0" w:type="dxa"/>
            <w:bottom w:w="0" w:type="dxa"/>
          </w:tblCellMar>
        </w:tblPrEx>
        <w:tc>
          <w:tcPr>
            <w:tcW w:w="18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7FC08B5D" w14:textId="77777777" w:rsidR="006A70CC" w:rsidRDefault="00000000">
            <w:r>
              <w:rPr>
                <w:color w:val="334155"/>
                <w:sz w:val="17"/>
                <w:szCs w:val="17"/>
              </w:rPr>
              <w:t>M7 Advanced ratios</w:t>
            </w:r>
          </w:p>
        </w:tc>
        <w:tc>
          <w:tcPr>
            <w:tcW w:w="30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18AF6E17" w14:textId="77777777" w:rsidR="006A70CC" w:rsidRDefault="00000000">
            <w:r>
              <w:rPr>
                <w:color w:val="334155"/>
                <w:sz w:val="17"/>
                <w:szCs w:val="17"/>
              </w:rPr>
              <w:t>Margin, ROA, ROE, current, gearing</w:t>
            </w:r>
          </w:p>
        </w:tc>
        <w:tc>
          <w:tcPr>
            <w:tcW w:w="4838"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1D1F3336" w14:textId="77777777" w:rsidR="006A70CC" w:rsidRDefault="00000000">
            <w:r>
              <w:rPr>
                <w:color w:val="334155"/>
                <w:sz w:val="17"/>
                <w:szCs w:val="17"/>
              </w:rPr>
              <w:t>Post-FID balance-sheet strength, covenants</w:t>
            </w:r>
          </w:p>
        </w:tc>
      </w:tr>
      <w:tr w:rsidR="006A70CC" w14:paraId="6800B001" w14:textId="77777777">
        <w:tblPrEx>
          <w:tblCellMar>
            <w:top w:w="0" w:type="dxa"/>
            <w:bottom w:w="0" w:type="dxa"/>
          </w:tblCellMar>
        </w:tblPrEx>
        <w:tc>
          <w:tcPr>
            <w:tcW w:w="18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7D89B5FF" w14:textId="77777777" w:rsidR="006A70CC" w:rsidRDefault="00000000">
            <w:r>
              <w:rPr>
                <w:color w:val="334155"/>
                <w:sz w:val="17"/>
                <w:szCs w:val="17"/>
              </w:rPr>
              <w:t>M8 Decision</w:t>
            </w:r>
          </w:p>
        </w:tc>
        <w:tc>
          <w:tcPr>
            <w:tcW w:w="30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2717EE06" w14:textId="77777777" w:rsidR="006A70CC" w:rsidRDefault="00000000">
            <w:r>
              <w:rPr>
                <w:color w:val="334155"/>
                <w:sz w:val="17"/>
                <w:szCs w:val="17"/>
              </w:rPr>
              <w:t>Biases, planning fallacy, sunk cost</w:t>
            </w:r>
          </w:p>
        </w:tc>
        <w:tc>
          <w:tcPr>
            <w:tcW w:w="4838"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5C1335B8" w14:textId="77777777" w:rsidR="006A70CC" w:rsidRDefault="00000000">
            <w:r>
              <w:rPr>
                <w:color w:val="334155"/>
                <w:sz w:val="17"/>
                <w:szCs w:val="17"/>
              </w:rPr>
              <w:t>Pre-mortem, outside view, challenge</w:t>
            </w:r>
          </w:p>
        </w:tc>
      </w:tr>
      <w:tr w:rsidR="006A70CC" w14:paraId="119D9803" w14:textId="77777777">
        <w:tblPrEx>
          <w:tblCellMar>
            <w:top w:w="0" w:type="dxa"/>
            <w:bottom w:w="0" w:type="dxa"/>
          </w:tblCellMar>
        </w:tblPrEx>
        <w:tc>
          <w:tcPr>
            <w:tcW w:w="18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7D6D003C" w14:textId="77777777" w:rsidR="006A70CC" w:rsidRDefault="00000000">
            <w:r>
              <w:rPr>
                <w:color w:val="334155"/>
                <w:sz w:val="17"/>
                <w:szCs w:val="17"/>
              </w:rPr>
              <w:t>M1 / M10 Leadership</w:t>
            </w:r>
          </w:p>
        </w:tc>
        <w:tc>
          <w:tcPr>
            <w:tcW w:w="30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59AEF0E3" w14:textId="77777777" w:rsidR="006A70CC" w:rsidRDefault="00000000">
            <w:r>
              <w:rPr>
                <w:color w:val="334155"/>
                <w:sz w:val="17"/>
                <w:szCs w:val="17"/>
              </w:rPr>
              <w:t>Influence, culture, accountability</w:t>
            </w:r>
          </w:p>
        </w:tc>
        <w:tc>
          <w:tcPr>
            <w:tcW w:w="4838"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275C0E4E" w14:textId="77777777" w:rsidR="006A70CC" w:rsidRDefault="00000000">
            <w:r>
              <w:rPr>
                <w:color w:val="334155"/>
                <w:sz w:val="17"/>
                <w:szCs w:val="17"/>
              </w:rPr>
              <w:t>Sponsors, committee, cold-eye review</w:t>
            </w:r>
          </w:p>
        </w:tc>
      </w:tr>
    </w:tbl>
    <w:p w14:paraId="65DD5E1D" w14:textId="77777777" w:rsidR="006A70CC" w:rsidRDefault="00000000">
      <w:pPr>
        <w:spacing w:before="40" w:after="200" w:line="276" w:lineRule="auto"/>
      </w:pPr>
      <w:r>
        <w:rPr>
          <w:i/>
          <w:iCs/>
          <w:color w:val="64748B"/>
          <w:sz w:val="16"/>
          <w:szCs w:val="16"/>
        </w:rPr>
        <w:t>Table 2 — MBA Essentials mapped onto FID practice.</w:t>
      </w:r>
    </w:p>
    <w:p w14:paraId="7870731F" w14:textId="77777777" w:rsidR="006A70CC" w:rsidRDefault="00000000">
      <w:pPr>
        <w:pStyle w:val="Heading2"/>
      </w:pPr>
      <w:r>
        <w:t>3.2 The four appraisal methods (LSE Module 6 Unit 4)</w:t>
      </w:r>
    </w:p>
    <w:p w14:paraId="0CFD5E62" w14:textId="77777777" w:rsidR="006A70CC" w:rsidRDefault="00000000">
      <w:pPr>
        <w:spacing w:after="120" w:line="276" w:lineRule="auto"/>
      </w:pPr>
      <w:r>
        <w:rPr>
          <w:color w:val="334155"/>
        </w:rPr>
        <w:t xml:space="preserve">LSE learning outcomes: calculate rates of </w:t>
      </w:r>
      <w:proofErr w:type="gramStart"/>
      <w:r>
        <w:rPr>
          <w:color w:val="334155"/>
        </w:rPr>
        <w:t>return on investment</w:t>
      </w:r>
      <w:proofErr w:type="gramEnd"/>
      <w:r>
        <w:rPr>
          <w:color w:val="334155"/>
        </w:rPr>
        <w:t xml:space="preserve"> opportunities; select the best opportunity. Teaching assumptions in the course (to be lifted in a live FID): cash flows estimable with relative certainty; no tax or inflation in the examples; cash flows treated as occurring on the last day of each period.</w:t>
      </w:r>
    </w:p>
    <w:p w14:paraId="6F1A7B4A" w14:textId="77777777" w:rsidR="006A70CC" w:rsidRDefault="00000000">
      <w:pPr>
        <w:pStyle w:val="Heading3"/>
      </w:pPr>
      <w:r>
        <w:t>NPV — primary criterion</w:t>
      </w:r>
    </w:p>
    <w:p w14:paraId="65F8ADBB" w14:textId="77777777" w:rsidR="006A70CC" w:rsidRDefault="00000000">
      <w:pPr>
        <w:spacing w:after="120" w:line="276" w:lineRule="auto"/>
      </w:pPr>
      <w:r>
        <w:rPr>
          <w:color w:val="334155"/>
        </w:rPr>
        <w:t>Unlike ARR and payback, NPV takes the timing of cash flows into account. Each flow is discounted at the required rate r (opportunity cost / WACC / hurdle), then summed.</w:t>
      </w:r>
    </w:p>
    <w:p w14:paraId="102DD5B3" w14:textId="77777777" w:rsidR="006A70CC" w:rsidRDefault="00000000">
      <w:pPr>
        <w:spacing w:after="120" w:line="276" w:lineRule="auto"/>
      </w:pPr>
      <w:r>
        <w:rPr>
          <w:color w:val="334155"/>
        </w:rPr>
        <w:t xml:space="preserve">NPV = Σ </w:t>
      </w:r>
      <w:proofErr w:type="spellStart"/>
      <w:r>
        <w:rPr>
          <w:color w:val="334155"/>
        </w:rPr>
        <w:t>CFn</w:t>
      </w:r>
      <w:proofErr w:type="spellEnd"/>
      <w:r>
        <w:rPr>
          <w:color w:val="334155"/>
        </w:rPr>
        <w:t xml:space="preserve"> / (1+</w:t>
      </w:r>
      <w:proofErr w:type="gramStart"/>
      <w:r>
        <w:rPr>
          <w:color w:val="334155"/>
        </w:rPr>
        <w:t>r)^n  (</w:t>
      </w:r>
      <w:proofErr w:type="gramEnd"/>
      <w:r>
        <w:rPr>
          <w:color w:val="334155"/>
        </w:rPr>
        <w:t>including I0 at n = 0). Rule: NPV &gt; 0 means the investment beats the alternative placement at rate r. Between two positive-NPV projects, retain in principle the higher NPV (wealth creation), subject to capital rationing and risk.</w:t>
      </w:r>
    </w:p>
    <w:p w14:paraId="496BE3AE" w14:textId="77777777" w:rsidR="006A70CC" w:rsidRDefault="00000000">
      <w:pPr>
        <w:spacing w:after="120" w:line="276" w:lineRule="auto"/>
      </w:pPr>
      <w:r>
        <w:rPr>
          <w:color w:val="334155"/>
        </w:rPr>
        <w:t xml:space="preserve">LSE verdict: “Net present value is a better method […] as it makes use of cash flows instead of </w:t>
      </w:r>
      <w:proofErr w:type="gramStart"/>
      <w:r>
        <w:rPr>
          <w:color w:val="334155"/>
        </w:rPr>
        <w:t>profit, and</w:t>
      </w:r>
      <w:proofErr w:type="gramEnd"/>
      <w:r>
        <w:rPr>
          <w:color w:val="334155"/>
        </w:rPr>
        <w:t xml:space="preserve"> takes the timing of these cash flows into account.”</w:t>
      </w:r>
    </w:p>
    <w:p w14:paraId="4B0A7821" w14:textId="77777777" w:rsidR="006A70CC" w:rsidRDefault="00000000">
      <w:pPr>
        <w:pStyle w:val="Heading3"/>
      </w:pPr>
      <w:r>
        <w:t>IRR — acceptance test versus hurdle</w:t>
      </w:r>
    </w:p>
    <w:p w14:paraId="6BAF75BC" w14:textId="77777777" w:rsidR="006A70CC" w:rsidRDefault="00000000">
      <w:pPr>
        <w:spacing w:after="120" w:line="276" w:lineRule="auto"/>
      </w:pPr>
      <w:r>
        <w:rPr>
          <w:color w:val="334155"/>
        </w:rPr>
        <w:t>IRR is the rate that drives NPV to zero. LSE rule: accept if IRR exceeds the rate at which the money could otherwise have been invested. Operating caveat (to add to the course): IRR can mislead across projects of different scale or cash-flow shape; NPV remains the judge of value creation.</w:t>
      </w:r>
    </w:p>
    <w:p w14:paraId="45448EC7" w14:textId="77777777" w:rsidR="006A70CC" w:rsidRDefault="00000000">
      <w:pPr>
        <w:pStyle w:val="Heading3"/>
      </w:pPr>
      <w:r>
        <w:lastRenderedPageBreak/>
        <w:t>Payback — liquidity screen, not king</w:t>
      </w:r>
    </w:p>
    <w:p w14:paraId="72264E45" w14:textId="77777777" w:rsidR="006A70CC" w:rsidRDefault="00000000">
      <w:pPr>
        <w:spacing w:after="120" w:line="276" w:lineRule="auto"/>
      </w:pPr>
      <w:r>
        <w:rPr>
          <w:color w:val="334155"/>
        </w:rPr>
        <w:t>Cumulative cash flows are tracked until the initial outlay is recovered. LSE: if payback exceeds the maximum set by management, reject; between two acceptable projects, the shorter payback wins. Taught limits: no time value of money; a project that creates more wealth later can be wrongly discarded.</w:t>
      </w:r>
    </w:p>
    <w:p w14:paraId="42958F13" w14:textId="77777777" w:rsidR="006A70CC" w:rsidRDefault="00000000">
      <w:pPr>
        <w:pStyle w:val="Heading3"/>
      </w:pPr>
      <w:r>
        <w:t>ARR — secondary accounting indicator</w:t>
      </w:r>
    </w:p>
    <w:p w14:paraId="7E9E95DA" w14:textId="77777777" w:rsidR="006A70CC" w:rsidRDefault="00000000">
      <w:pPr>
        <w:spacing w:after="120" w:line="276" w:lineRule="auto"/>
      </w:pPr>
      <w:r>
        <w:rPr>
          <w:color w:val="334155"/>
        </w:rPr>
        <w:t>ARR = (average annual operating profit / average investment) × 100. LSE flags two weaknesses: it uses accounting profit, not cash flows; it ignores the time value of money. Useful only if the board still asks for it; never as the sole FID criterion.</w:t>
      </w:r>
    </w:p>
    <w:p w14:paraId="24E7D71D" w14:textId="77777777" w:rsidR="006A70CC" w:rsidRDefault="00000000">
      <w:pPr>
        <w:pStyle w:val="Heading2"/>
      </w:pPr>
      <w:r>
        <w:t>3.3 What LSE adds beyond the formulae</w:t>
      </w:r>
    </w:p>
    <w:p w14:paraId="6D34443B" w14:textId="77777777" w:rsidR="006A70CC" w:rsidRDefault="00000000">
      <w:pPr>
        <w:pStyle w:val="ListParagraph"/>
        <w:numPr>
          <w:ilvl w:val="0"/>
          <w:numId w:val="2"/>
        </w:numPr>
        <w:spacing w:after="60" w:line="260" w:lineRule="auto"/>
      </w:pPr>
      <w:r>
        <w:rPr>
          <w:color w:val="334155"/>
        </w:rPr>
        <w:t>Purpose of the decision: maximise shareholder wealth, not 'launch a project'.</w:t>
      </w:r>
    </w:p>
    <w:p w14:paraId="092A7D54" w14:textId="77777777" w:rsidR="006A70CC" w:rsidRDefault="00000000">
      <w:pPr>
        <w:pStyle w:val="ListParagraph"/>
        <w:numPr>
          <w:ilvl w:val="0"/>
          <w:numId w:val="2"/>
        </w:numPr>
        <w:spacing w:after="60" w:line="260" w:lineRule="auto"/>
      </w:pPr>
      <w:r>
        <w:rPr>
          <w:color w:val="334155"/>
        </w:rPr>
        <w:t>Long-term asset decisions have lasting financial consequences — hence stage-gate.</w:t>
      </w:r>
    </w:p>
    <w:p w14:paraId="3E16B697" w14:textId="77777777" w:rsidR="006A70CC" w:rsidRDefault="00000000">
      <w:pPr>
        <w:pStyle w:val="ListParagraph"/>
        <w:numPr>
          <w:ilvl w:val="0"/>
          <w:numId w:val="2"/>
        </w:numPr>
        <w:spacing w:after="60" w:line="260" w:lineRule="auto"/>
      </w:pPr>
      <w:r>
        <w:rPr>
          <w:color w:val="334155"/>
        </w:rPr>
        <w:t>Risk must be judged, not return alone (Module 6 closing note).</w:t>
      </w:r>
    </w:p>
    <w:p w14:paraId="086785BE" w14:textId="77777777" w:rsidR="006A70CC" w:rsidRDefault="00000000">
      <w:pPr>
        <w:pStyle w:val="ListParagraph"/>
        <w:numPr>
          <w:ilvl w:val="0"/>
          <w:numId w:val="2"/>
        </w:numPr>
        <w:spacing w:after="60" w:line="260" w:lineRule="auto"/>
      </w:pPr>
      <w:r>
        <w:rPr>
          <w:color w:val="334155"/>
        </w:rPr>
        <w:t>Life-cycle costing: pre-production, production, post-production (decommissioning, environment, after-sales).</w:t>
      </w:r>
    </w:p>
    <w:p w14:paraId="0682770F" w14:textId="77777777" w:rsidR="006A70CC" w:rsidRDefault="00000000">
      <w:pPr>
        <w:pStyle w:val="ListParagraph"/>
        <w:numPr>
          <w:ilvl w:val="0"/>
          <w:numId w:val="2"/>
        </w:numPr>
        <w:spacing w:after="60" w:line="260" w:lineRule="auto"/>
      </w:pPr>
      <w:r>
        <w:rPr>
          <w:color w:val="334155"/>
        </w:rPr>
        <w:t>Target costing / design-to-cost: start from the price the market will pay, minus required margin, to constrain capex.</w:t>
      </w:r>
    </w:p>
    <w:p w14:paraId="561E344B" w14:textId="77777777" w:rsidR="006A70CC" w:rsidRDefault="00000000">
      <w:pPr>
        <w:pStyle w:val="ListParagraph"/>
        <w:numPr>
          <w:ilvl w:val="0"/>
          <w:numId w:val="2"/>
        </w:numPr>
        <w:spacing w:after="60" w:line="260" w:lineRule="auto"/>
      </w:pPr>
      <w:r>
        <w:rPr>
          <w:color w:val="334155"/>
        </w:rPr>
        <w:t>Debiasing is mandatory: the inside view is too optimistic; use outside view + pre-mortem + accountability.</w:t>
      </w:r>
    </w:p>
    <w:p w14:paraId="5FC903C6" w14:textId="77777777" w:rsidR="006A70CC" w:rsidRDefault="00000000">
      <w:pPr>
        <w:pStyle w:val="Heading1"/>
        <w:pBdr>
          <w:bottom w:val="single" w:sz="12" w:space="4" w:color="1B365D"/>
        </w:pBdr>
      </w:pPr>
      <w:r>
        <w:t>4. Stage-gate architecture to FID</w:t>
      </w:r>
    </w:p>
    <w:p w14:paraId="3DA2BDAA" w14:textId="77777777" w:rsidR="006A70CC" w:rsidRDefault="00000000">
      <w:pPr>
        <w:spacing w:after="120" w:line="276" w:lineRule="auto"/>
      </w:pPr>
      <w:r>
        <w:rPr>
          <w:color w:val="334155"/>
        </w:rPr>
        <w:t>Stage-gate (Cooper) and Front-End Loading (IPA / extractives and infrastructure) say the same thing: do not buy execution with an idea. Each gate has a deliverable, an estimate class, a governance question and a right to kill the project.</w:t>
      </w:r>
    </w:p>
    <w:p w14:paraId="2752EA77" w14:textId="77777777" w:rsidR="006A70CC" w:rsidRDefault="00000000">
      <w:pPr>
        <w:pStyle w:val="Heading2"/>
      </w:pPr>
      <w:r>
        <w:t>4.1 Language mapping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00"/>
        <w:gridCol w:w="1900"/>
        <w:gridCol w:w="2100"/>
        <w:gridCol w:w="1800"/>
        <w:gridCol w:w="2138"/>
      </w:tblGrid>
      <w:tr w:rsidR="006A70CC" w14:paraId="3E095DCF" w14:textId="77777777">
        <w:tblPrEx>
          <w:tblCellMar>
            <w:top w:w="0" w:type="dxa"/>
            <w:bottom w:w="0" w:type="dxa"/>
          </w:tblCellMar>
        </w:tblPrEx>
        <w:trPr>
          <w:tblHeader/>
        </w:trPr>
        <w:tc>
          <w:tcPr>
            <w:tcW w:w="1700" w:type="dxa"/>
            <w:tcBorders>
              <w:top w:val="single" w:sz="4" w:space="0" w:color="CBD5E1"/>
              <w:left w:val="single" w:sz="4" w:space="0" w:color="CBD5E1"/>
              <w:bottom w:val="single" w:sz="4" w:space="0" w:color="CBD5E1"/>
              <w:right w:val="single" w:sz="4" w:space="0" w:color="CBD5E1"/>
            </w:tcBorders>
            <w:shd w:val="clear" w:color="auto" w:fill="1B365D"/>
            <w:tcMar>
              <w:top w:w="60" w:type="dxa"/>
              <w:left w:w="80" w:type="dxa"/>
              <w:bottom w:w="60" w:type="dxa"/>
              <w:right w:w="80" w:type="dxa"/>
            </w:tcMar>
            <w:vAlign w:val="center"/>
          </w:tcPr>
          <w:p w14:paraId="32F9AA8D" w14:textId="77777777" w:rsidR="006A70CC" w:rsidRDefault="00000000">
            <w:r>
              <w:rPr>
                <w:b/>
                <w:bCs/>
                <w:color w:val="FFFFFF"/>
                <w:sz w:val="17"/>
                <w:szCs w:val="17"/>
              </w:rPr>
              <w:t>This brief</w:t>
            </w:r>
          </w:p>
        </w:tc>
        <w:tc>
          <w:tcPr>
            <w:tcW w:w="1900" w:type="dxa"/>
            <w:tcBorders>
              <w:top w:val="single" w:sz="4" w:space="0" w:color="CBD5E1"/>
              <w:left w:val="single" w:sz="4" w:space="0" w:color="CBD5E1"/>
              <w:bottom w:val="single" w:sz="4" w:space="0" w:color="CBD5E1"/>
              <w:right w:val="single" w:sz="4" w:space="0" w:color="CBD5E1"/>
            </w:tcBorders>
            <w:shd w:val="clear" w:color="auto" w:fill="1B365D"/>
            <w:tcMar>
              <w:top w:w="60" w:type="dxa"/>
              <w:left w:w="80" w:type="dxa"/>
              <w:bottom w:w="60" w:type="dxa"/>
              <w:right w:w="80" w:type="dxa"/>
            </w:tcMar>
            <w:vAlign w:val="center"/>
          </w:tcPr>
          <w:p w14:paraId="2F10BC77" w14:textId="77777777" w:rsidR="006A70CC" w:rsidRDefault="00000000">
            <w:r>
              <w:rPr>
                <w:b/>
                <w:bCs/>
                <w:color w:val="FFFFFF"/>
                <w:sz w:val="17"/>
                <w:szCs w:val="17"/>
              </w:rPr>
              <w:t>Oil &amp; gas / IPA</w:t>
            </w:r>
          </w:p>
        </w:tc>
        <w:tc>
          <w:tcPr>
            <w:tcW w:w="2100" w:type="dxa"/>
            <w:tcBorders>
              <w:top w:val="single" w:sz="4" w:space="0" w:color="CBD5E1"/>
              <w:left w:val="single" w:sz="4" w:space="0" w:color="CBD5E1"/>
              <w:bottom w:val="single" w:sz="4" w:space="0" w:color="CBD5E1"/>
              <w:right w:val="single" w:sz="4" w:space="0" w:color="CBD5E1"/>
            </w:tcBorders>
            <w:shd w:val="clear" w:color="auto" w:fill="1B365D"/>
            <w:tcMar>
              <w:top w:w="60" w:type="dxa"/>
              <w:left w:w="80" w:type="dxa"/>
              <w:bottom w:w="60" w:type="dxa"/>
              <w:right w:w="80" w:type="dxa"/>
            </w:tcMar>
            <w:vAlign w:val="center"/>
          </w:tcPr>
          <w:p w14:paraId="301AE185" w14:textId="77777777" w:rsidR="006A70CC" w:rsidRDefault="00000000">
            <w:r>
              <w:rPr>
                <w:b/>
                <w:bCs/>
                <w:color w:val="FFFFFF"/>
                <w:sz w:val="17"/>
                <w:szCs w:val="17"/>
              </w:rPr>
              <w:t>Infra / utilities</w:t>
            </w:r>
          </w:p>
        </w:tc>
        <w:tc>
          <w:tcPr>
            <w:tcW w:w="1800" w:type="dxa"/>
            <w:tcBorders>
              <w:top w:val="single" w:sz="4" w:space="0" w:color="CBD5E1"/>
              <w:left w:val="single" w:sz="4" w:space="0" w:color="CBD5E1"/>
              <w:bottom w:val="single" w:sz="4" w:space="0" w:color="CBD5E1"/>
              <w:right w:val="single" w:sz="4" w:space="0" w:color="CBD5E1"/>
            </w:tcBorders>
            <w:shd w:val="clear" w:color="auto" w:fill="1B365D"/>
            <w:tcMar>
              <w:top w:w="60" w:type="dxa"/>
              <w:left w:w="80" w:type="dxa"/>
              <w:bottom w:w="60" w:type="dxa"/>
              <w:right w:w="80" w:type="dxa"/>
            </w:tcMar>
            <w:vAlign w:val="center"/>
          </w:tcPr>
          <w:p w14:paraId="124A7F50" w14:textId="77777777" w:rsidR="006A70CC" w:rsidRDefault="00000000">
            <w:r>
              <w:rPr>
                <w:b/>
                <w:bCs/>
                <w:color w:val="FFFFFF"/>
                <w:sz w:val="17"/>
                <w:szCs w:val="17"/>
              </w:rPr>
              <w:t>PMI (approx.)</w:t>
            </w:r>
          </w:p>
        </w:tc>
        <w:tc>
          <w:tcPr>
            <w:tcW w:w="2138" w:type="dxa"/>
            <w:tcBorders>
              <w:top w:val="single" w:sz="4" w:space="0" w:color="CBD5E1"/>
              <w:left w:val="single" w:sz="4" w:space="0" w:color="CBD5E1"/>
              <w:bottom w:val="single" w:sz="4" w:space="0" w:color="CBD5E1"/>
              <w:right w:val="single" w:sz="4" w:space="0" w:color="CBD5E1"/>
            </w:tcBorders>
            <w:shd w:val="clear" w:color="auto" w:fill="1B365D"/>
            <w:tcMar>
              <w:top w:w="60" w:type="dxa"/>
              <w:left w:w="80" w:type="dxa"/>
              <w:bottom w:w="60" w:type="dxa"/>
              <w:right w:w="80" w:type="dxa"/>
            </w:tcMar>
            <w:vAlign w:val="center"/>
          </w:tcPr>
          <w:p w14:paraId="4F02EB4A" w14:textId="77777777" w:rsidR="006A70CC" w:rsidRDefault="00000000">
            <w:r>
              <w:rPr>
                <w:b/>
                <w:bCs/>
                <w:color w:val="FFFFFF"/>
                <w:sz w:val="17"/>
                <w:szCs w:val="17"/>
              </w:rPr>
              <w:t>Typical cost uncertainty</w:t>
            </w:r>
          </w:p>
        </w:tc>
      </w:tr>
      <w:tr w:rsidR="006A70CC" w14:paraId="05DC3E5B" w14:textId="77777777">
        <w:tblPrEx>
          <w:tblCellMar>
            <w:top w:w="0" w:type="dxa"/>
            <w:bottom w:w="0" w:type="dxa"/>
          </w:tblCellMar>
        </w:tblPrEx>
        <w:tc>
          <w:tcPr>
            <w:tcW w:w="17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0860A592" w14:textId="77777777" w:rsidR="006A70CC" w:rsidRDefault="00000000">
            <w:r>
              <w:rPr>
                <w:color w:val="334155"/>
                <w:sz w:val="17"/>
                <w:szCs w:val="17"/>
              </w:rPr>
              <w:t>G0 Identify</w:t>
            </w:r>
          </w:p>
        </w:tc>
        <w:tc>
          <w:tcPr>
            <w:tcW w:w="19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7EBC7D92" w14:textId="77777777" w:rsidR="006A70CC" w:rsidRDefault="00000000">
            <w:r>
              <w:rPr>
                <w:color w:val="334155"/>
                <w:sz w:val="17"/>
                <w:szCs w:val="17"/>
              </w:rPr>
              <w:t>FEL-1 Appraise</w:t>
            </w:r>
          </w:p>
        </w:tc>
        <w:tc>
          <w:tcPr>
            <w:tcW w:w="21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202A3856" w14:textId="77777777" w:rsidR="006A70CC" w:rsidRDefault="00000000">
            <w:r>
              <w:rPr>
                <w:color w:val="334155"/>
                <w:sz w:val="17"/>
                <w:szCs w:val="17"/>
              </w:rPr>
              <w:t>Opportunity / need case</w:t>
            </w:r>
          </w:p>
        </w:tc>
        <w:tc>
          <w:tcPr>
            <w:tcW w:w="18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0EBFFD1C" w14:textId="77777777" w:rsidR="006A70CC" w:rsidRDefault="00000000">
            <w:r>
              <w:rPr>
                <w:color w:val="334155"/>
                <w:sz w:val="17"/>
                <w:szCs w:val="17"/>
              </w:rPr>
              <w:t>Initiating</w:t>
            </w:r>
          </w:p>
        </w:tc>
        <w:tc>
          <w:tcPr>
            <w:tcW w:w="2138"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765DC1AF" w14:textId="77777777" w:rsidR="006A70CC" w:rsidRDefault="00000000">
            <w:r>
              <w:rPr>
                <w:color w:val="334155"/>
                <w:sz w:val="17"/>
                <w:szCs w:val="17"/>
              </w:rPr>
              <w:t>±50% (Class 5)</w:t>
            </w:r>
          </w:p>
        </w:tc>
      </w:tr>
      <w:tr w:rsidR="006A70CC" w14:paraId="7A35C23B" w14:textId="77777777">
        <w:tblPrEx>
          <w:tblCellMar>
            <w:top w:w="0" w:type="dxa"/>
            <w:bottom w:w="0" w:type="dxa"/>
          </w:tblCellMar>
        </w:tblPrEx>
        <w:tc>
          <w:tcPr>
            <w:tcW w:w="17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6D50CC33" w14:textId="77777777" w:rsidR="006A70CC" w:rsidRDefault="00000000">
            <w:r>
              <w:rPr>
                <w:color w:val="334155"/>
                <w:sz w:val="17"/>
                <w:szCs w:val="17"/>
              </w:rPr>
              <w:t>G1 Select</w:t>
            </w:r>
          </w:p>
        </w:tc>
        <w:tc>
          <w:tcPr>
            <w:tcW w:w="19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4FB6A1A2" w14:textId="77777777" w:rsidR="006A70CC" w:rsidRDefault="00000000">
            <w:r>
              <w:rPr>
                <w:color w:val="334155"/>
                <w:sz w:val="17"/>
                <w:szCs w:val="17"/>
              </w:rPr>
              <w:t>FEL-2 Select</w:t>
            </w:r>
          </w:p>
        </w:tc>
        <w:tc>
          <w:tcPr>
            <w:tcW w:w="21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2C63AD47" w14:textId="77777777" w:rsidR="006A70CC" w:rsidRDefault="00000000">
            <w:r>
              <w:rPr>
                <w:color w:val="334155"/>
                <w:sz w:val="17"/>
                <w:szCs w:val="17"/>
              </w:rPr>
              <w:t>Pre-feasibility / options</w:t>
            </w:r>
          </w:p>
        </w:tc>
        <w:tc>
          <w:tcPr>
            <w:tcW w:w="18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06FB4614" w14:textId="77777777" w:rsidR="006A70CC" w:rsidRDefault="00000000">
            <w:r>
              <w:rPr>
                <w:color w:val="334155"/>
                <w:sz w:val="17"/>
                <w:szCs w:val="17"/>
              </w:rPr>
              <w:t>Planning early</w:t>
            </w:r>
          </w:p>
        </w:tc>
        <w:tc>
          <w:tcPr>
            <w:tcW w:w="2138"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70BC131A" w14:textId="77777777" w:rsidR="006A70CC" w:rsidRDefault="00000000">
            <w:r>
              <w:rPr>
                <w:color w:val="334155"/>
                <w:sz w:val="17"/>
                <w:szCs w:val="17"/>
              </w:rPr>
              <w:t>±30% (Class 4)</w:t>
            </w:r>
          </w:p>
        </w:tc>
      </w:tr>
      <w:tr w:rsidR="006A70CC" w14:paraId="2141B690" w14:textId="77777777">
        <w:tblPrEx>
          <w:tblCellMar>
            <w:top w:w="0" w:type="dxa"/>
            <w:bottom w:w="0" w:type="dxa"/>
          </w:tblCellMar>
        </w:tblPrEx>
        <w:tc>
          <w:tcPr>
            <w:tcW w:w="17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7B693FF3" w14:textId="77777777" w:rsidR="006A70CC" w:rsidRDefault="00000000">
            <w:r>
              <w:rPr>
                <w:color w:val="334155"/>
                <w:sz w:val="17"/>
                <w:szCs w:val="17"/>
              </w:rPr>
              <w:t>G2 Define</w:t>
            </w:r>
          </w:p>
        </w:tc>
        <w:tc>
          <w:tcPr>
            <w:tcW w:w="19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0FC74A7C" w14:textId="77777777" w:rsidR="006A70CC" w:rsidRDefault="00000000">
            <w:r>
              <w:rPr>
                <w:color w:val="334155"/>
                <w:sz w:val="17"/>
                <w:szCs w:val="17"/>
              </w:rPr>
              <w:t>FEL-3 Define / FEED</w:t>
            </w:r>
          </w:p>
        </w:tc>
        <w:tc>
          <w:tcPr>
            <w:tcW w:w="21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6B813E9A" w14:textId="77777777" w:rsidR="006A70CC" w:rsidRDefault="00000000">
            <w:r>
              <w:rPr>
                <w:color w:val="334155"/>
                <w:sz w:val="17"/>
                <w:szCs w:val="17"/>
              </w:rPr>
              <w:t>Feasibility / detailed design</w:t>
            </w:r>
          </w:p>
        </w:tc>
        <w:tc>
          <w:tcPr>
            <w:tcW w:w="18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584B85B1" w14:textId="77777777" w:rsidR="006A70CC" w:rsidRDefault="00000000">
            <w:r>
              <w:rPr>
                <w:color w:val="334155"/>
                <w:sz w:val="17"/>
                <w:szCs w:val="17"/>
              </w:rPr>
              <w:t>Planning late</w:t>
            </w:r>
          </w:p>
        </w:tc>
        <w:tc>
          <w:tcPr>
            <w:tcW w:w="2138"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6454B8C8" w14:textId="77777777" w:rsidR="006A70CC" w:rsidRDefault="00000000">
            <w:r>
              <w:rPr>
                <w:color w:val="334155"/>
                <w:sz w:val="17"/>
                <w:szCs w:val="17"/>
              </w:rPr>
              <w:t>±10–15% (Class 3)</w:t>
            </w:r>
          </w:p>
        </w:tc>
      </w:tr>
      <w:tr w:rsidR="006A70CC" w14:paraId="64122167" w14:textId="77777777">
        <w:tblPrEx>
          <w:tblCellMar>
            <w:top w:w="0" w:type="dxa"/>
            <w:bottom w:w="0" w:type="dxa"/>
          </w:tblCellMar>
        </w:tblPrEx>
        <w:tc>
          <w:tcPr>
            <w:tcW w:w="17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710566FC" w14:textId="77777777" w:rsidR="006A70CC" w:rsidRDefault="00000000">
            <w:r>
              <w:rPr>
                <w:color w:val="334155"/>
                <w:sz w:val="17"/>
                <w:szCs w:val="17"/>
              </w:rPr>
              <w:t>G3 FID</w:t>
            </w:r>
          </w:p>
        </w:tc>
        <w:tc>
          <w:tcPr>
            <w:tcW w:w="19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774CC5FB" w14:textId="77777777" w:rsidR="006A70CC" w:rsidRDefault="00000000">
            <w:r>
              <w:rPr>
                <w:color w:val="334155"/>
                <w:sz w:val="17"/>
                <w:szCs w:val="17"/>
              </w:rPr>
              <w:t>FID</w:t>
            </w:r>
          </w:p>
        </w:tc>
        <w:tc>
          <w:tcPr>
            <w:tcW w:w="21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575438BA" w14:textId="77777777" w:rsidR="006A70CC" w:rsidRDefault="00000000">
            <w:r>
              <w:rPr>
                <w:color w:val="334155"/>
                <w:sz w:val="17"/>
                <w:szCs w:val="17"/>
              </w:rPr>
              <w:t>Financial close / sanction</w:t>
            </w:r>
          </w:p>
        </w:tc>
        <w:tc>
          <w:tcPr>
            <w:tcW w:w="18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55110BDD" w14:textId="77777777" w:rsidR="006A70CC" w:rsidRDefault="00000000">
            <w:r>
              <w:rPr>
                <w:color w:val="334155"/>
                <w:sz w:val="17"/>
                <w:szCs w:val="17"/>
              </w:rPr>
              <w:t>End of Planning</w:t>
            </w:r>
          </w:p>
        </w:tc>
        <w:tc>
          <w:tcPr>
            <w:tcW w:w="2138"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0A010464" w14:textId="77777777" w:rsidR="006A70CC" w:rsidRDefault="00000000">
            <w:r>
              <w:rPr>
                <w:color w:val="334155"/>
                <w:sz w:val="17"/>
                <w:szCs w:val="17"/>
              </w:rPr>
              <w:t>Commitment baseline</w:t>
            </w:r>
          </w:p>
        </w:tc>
      </w:tr>
      <w:tr w:rsidR="006A70CC" w14:paraId="0E1DE26C" w14:textId="77777777">
        <w:tblPrEx>
          <w:tblCellMar>
            <w:top w:w="0" w:type="dxa"/>
            <w:bottom w:w="0" w:type="dxa"/>
          </w:tblCellMar>
        </w:tblPrEx>
        <w:tc>
          <w:tcPr>
            <w:tcW w:w="17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26986BA6" w14:textId="77777777" w:rsidR="006A70CC" w:rsidRDefault="00000000">
            <w:r>
              <w:rPr>
                <w:color w:val="334155"/>
                <w:sz w:val="17"/>
                <w:szCs w:val="17"/>
              </w:rPr>
              <w:t>Execute</w:t>
            </w:r>
          </w:p>
        </w:tc>
        <w:tc>
          <w:tcPr>
            <w:tcW w:w="19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4066831D" w14:textId="77777777" w:rsidR="006A70CC" w:rsidRDefault="00000000">
            <w:r>
              <w:rPr>
                <w:color w:val="334155"/>
                <w:sz w:val="17"/>
                <w:szCs w:val="17"/>
              </w:rPr>
              <w:t>Execute</w:t>
            </w:r>
          </w:p>
        </w:tc>
        <w:tc>
          <w:tcPr>
            <w:tcW w:w="21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37C0D823" w14:textId="77777777" w:rsidR="006A70CC" w:rsidRDefault="00000000">
            <w:r>
              <w:rPr>
                <w:color w:val="334155"/>
                <w:sz w:val="17"/>
                <w:szCs w:val="17"/>
              </w:rPr>
              <w:t>Construction</w:t>
            </w:r>
          </w:p>
        </w:tc>
        <w:tc>
          <w:tcPr>
            <w:tcW w:w="18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7C308011" w14:textId="77777777" w:rsidR="006A70CC" w:rsidRDefault="00000000">
            <w:r>
              <w:rPr>
                <w:color w:val="334155"/>
                <w:sz w:val="17"/>
                <w:szCs w:val="17"/>
              </w:rPr>
              <w:t>Executing</w:t>
            </w:r>
          </w:p>
        </w:tc>
        <w:tc>
          <w:tcPr>
            <w:tcW w:w="2138"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6BAE05B5" w14:textId="77777777" w:rsidR="006A70CC" w:rsidRDefault="00000000">
            <w:r>
              <w:rPr>
                <w:color w:val="334155"/>
                <w:sz w:val="17"/>
                <w:szCs w:val="17"/>
              </w:rPr>
              <w:t>EAC control</w:t>
            </w:r>
          </w:p>
        </w:tc>
      </w:tr>
    </w:tbl>
    <w:p w14:paraId="2B8411D7" w14:textId="77777777" w:rsidR="006A70CC" w:rsidRDefault="00000000">
      <w:pPr>
        <w:spacing w:before="40" w:after="200" w:line="276" w:lineRule="auto"/>
      </w:pPr>
      <w:r>
        <w:rPr>
          <w:i/>
          <w:iCs/>
          <w:color w:val="64748B"/>
          <w:sz w:val="16"/>
          <w:szCs w:val="16"/>
        </w:rPr>
        <w:t>Table 3 — FEL / infrastructure / PMI translation. Adapt the labels to your committee jargon, not the logic.</w:t>
      </w:r>
    </w:p>
    <w:p w14:paraId="04AD3F53" w14:textId="77777777" w:rsidR="006A70CC" w:rsidRDefault="00000000">
      <w:pPr>
        <w:pStyle w:val="Heading2"/>
      </w:pPr>
      <w:r>
        <w:t>4.2 Economics of information</w:t>
      </w:r>
    </w:p>
    <w:p w14:paraId="0562FAF1" w14:textId="77777777" w:rsidR="006A70CC" w:rsidRDefault="00000000">
      <w:pPr>
        <w:spacing w:after="120" w:line="276" w:lineRule="auto"/>
      </w:pPr>
      <w:r>
        <w:rPr>
          <w:color w:val="334155"/>
        </w:rPr>
        <w:t>Spend 1 to 5% of final capex on studies to reduce uncertainty before committing 100. A weak FEED statistically predicts post-FID overrun. Front-end loading quality (FEL index) predicts success more reliably than sponsor enthusiasm.</w:t>
      </w:r>
    </w:p>
    <w:p w14:paraId="4141B456" w14:textId="77777777" w:rsidR="006A70CC" w:rsidRDefault="00000000">
      <w:pPr>
        <w:pStyle w:val="Heading1"/>
        <w:pBdr>
          <w:bottom w:val="single" w:sz="12" w:space="4" w:color="1B365D"/>
        </w:pBdr>
      </w:pPr>
      <w:r>
        <w:t>5. Gate 0 — Identify / Appraise / FEL-1</w:t>
      </w:r>
    </w:p>
    <w:p w14:paraId="0A66F40B" w14:textId="77777777" w:rsidR="000834AD" w:rsidRDefault="00000000" w:rsidP="000834AD">
      <w:pPr>
        <w:spacing w:after="120" w:line="276" w:lineRule="auto"/>
      </w:pPr>
      <w:r>
        <w:rPr>
          <w:color w:val="334155"/>
        </w:rPr>
        <w:t>Objective: a strategic problem or opportunity, not yet a project. You are seeking the right to spend study money, not the right to build.</w:t>
      </w:r>
      <w:r w:rsidR="000834AD">
        <w:br/>
      </w:r>
    </w:p>
    <w:p w14:paraId="486E092C" w14:textId="77777777" w:rsidR="000834AD" w:rsidRDefault="000834AD">
      <w:r>
        <w:br w:type="page"/>
      </w:r>
    </w:p>
    <w:p w14:paraId="4E7C451D" w14:textId="2AACF635" w:rsidR="006A70CC" w:rsidRDefault="00000000" w:rsidP="000834AD">
      <w:pPr>
        <w:spacing w:after="120" w:line="276" w:lineRule="auto"/>
      </w:pPr>
      <w:r>
        <w:rPr>
          <w:b/>
          <w:bCs/>
          <w:color w:val="B91C1C"/>
          <w:sz w:val="26"/>
          <w:szCs w:val="26"/>
        </w:rPr>
        <w:lastRenderedPageBreak/>
        <w:t>5.1 Work to complete</w:t>
      </w:r>
    </w:p>
    <w:p w14:paraId="10744194" w14:textId="77777777" w:rsidR="006A70CC" w:rsidRDefault="00000000">
      <w:pPr>
        <w:pStyle w:val="ListParagraph"/>
        <w:numPr>
          <w:ilvl w:val="0"/>
          <w:numId w:val="4"/>
        </w:numPr>
        <w:spacing w:after="60" w:line="260" w:lineRule="auto"/>
      </w:pPr>
      <w:r>
        <w:rPr>
          <w:color w:val="334155"/>
        </w:rPr>
        <w:t>Need statement: operating constraint, market, regulation, decarbonisation, asset replacement, growth.</w:t>
      </w:r>
    </w:p>
    <w:p w14:paraId="57048EA6" w14:textId="77777777" w:rsidR="006A70CC" w:rsidRDefault="00000000">
      <w:pPr>
        <w:pStyle w:val="ListParagraph"/>
        <w:numPr>
          <w:ilvl w:val="0"/>
          <w:numId w:val="4"/>
        </w:numPr>
        <w:spacing w:after="60" w:line="260" w:lineRule="auto"/>
      </w:pPr>
      <w:r>
        <w:rPr>
          <w:color w:val="334155"/>
        </w:rPr>
        <w:t>Strategic fit and value chain: where does the project create advantage (cost, differentiation, real option)?</w:t>
      </w:r>
    </w:p>
    <w:p w14:paraId="64E165DF" w14:textId="77777777" w:rsidR="006A70CC" w:rsidRDefault="00000000">
      <w:pPr>
        <w:pStyle w:val="ListParagraph"/>
        <w:numPr>
          <w:ilvl w:val="0"/>
          <w:numId w:val="4"/>
        </w:numPr>
        <w:spacing w:after="60" w:line="260" w:lineRule="auto"/>
      </w:pPr>
      <w:r>
        <w:rPr>
          <w:color w:val="334155"/>
        </w:rPr>
        <w:t>Crude option screening, including 'do nothing' and 'defer'.</w:t>
      </w:r>
    </w:p>
    <w:p w14:paraId="360E079C" w14:textId="77777777" w:rsidR="006A70CC" w:rsidRDefault="00000000">
      <w:pPr>
        <w:pStyle w:val="ListParagraph"/>
        <w:numPr>
          <w:ilvl w:val="0"/>
          <w:numId w:val="4"/>
        </w:numPr>
        <w:spacing w:after="60" w:line="260" w:lineRule="auto"/>
      </w:pPr>
      <w:r>
        <w:rPr>
          <w:color w:val="334155"/>
        </w:rPr>
        <w:t xml:space="preserve">Order-of-magnitude capex / </w:t>
      </w:r>
      <w:proofErr w:type="spellStart"/>
      <w:r>
        <w:rPr>
          <w:color w:val="334155"/>
        </w:rPr>
        <w:t>opex</w:t>
      </w:r>
      <w:proofErr w:type="spellEnd"/>
      <w:r>
        <w:rPr>
          <w:color w:val="334155"/>
        </w:rPr>
        <w:t xml:space="preserve"> / revenue (±50%).</w:t>
      </w:r>
    </w:p>
    <w:p w14:paraId="5346BF37" w14:textId="77777777" w:rsidR="006A70CC" w:rsidRDefault="00000000">
      <w:pPr>
        <w:pStyle w:val="ListParagraph"/>
        <w:numPr>
          <w:ilvl w:val="0"/>
          <w:numId w:val="4"/>
        </w:numPr>
        <w:spacing w:after="60" w:line="260" w:lineRule="auto"/>
      </w:pPr>
      <w:r>
        <w:rPr>
          <w:color w:val="334155"/>
        </w:rPr>
        <w:t>Explicit kill criteria (if even a reasonable scenario cannot create value).</w:t>
      </w:r>
    </w:p>
    <w:p w14:paraId="5C228F20" w14:textId="77777777" w:rsidR="006A70CC" w:rsidRDefault="00000000">
      <w:pPr>
        <w:pStyle w:val="ListParagraph"/>
        <w:numPr>
          <w:ilvl w:val="0"/>
          <w:numId w:val="4"/>
        </w:numPr>
        <w:spacing w:after="60" w:line="260" w:lineRule="auto"/>
      </w:pPr>
      <w:r>
        <w:rPr>
          <w:color w:val="334155"/>
        </w:rPr>
        <w:t>Stakeholder map, in-principle permits, HSE / ESG red flags.</w:t>
      </w:r>
    </w:p>
    <w:p w14:paraId="34D998EA" w14:textId="77777777" w:rsidR="006A70CC" w:rsidRDefault="00000000">
      <w:pPr>
        <w:pStyle w:val="ListParagraph"/>
        <w:numPr>
          <w:ilvl w:val="0"/>
          <w:numId w:val="4"/>
        </w:numPr>
        <w:spacing w:after="60" w:line="260" w:lineRule="auto"/>
      </w:pPr>
      <w:r>
        <w:rPr>
          <w:color w:val="334155"/>
        </w:rPr>
        <w:t>Governance: named sponsor, PMO, Gate 1 study budget.</w:t>
      </w:r>
    </w:p>
    <w:p w14:paraId="1ACC1E21" w14:textId="77777777" w:rsidR="006A70CC" w:rsidRDefault="00000000">
      <w:pPr>
        <w:pStyle w:val="Heading2"/>
      </w:pPr>
      <w:r>
        <w:t>5.2 Gate deliverable and decision</w:t>
      </w:r>
    </w:p>
    <w:p w14:paraId="23AC98A7" w14:textId="77777777" w:rsidR="006A70CC" w:rsidRDefault="00000000">
      <w:pPr>
        <w:spacing w:after="120" w:line="276" w:lineRule="auto"/>
      </w:pPr>
      <w:r>
        <w:rPr>
          <w:color w:val="334155"/>
        </w:rPr>
        <w:t>Deliverable: Opportunity brief (4 to 8 pages) + options sheet. Decision: Go to Select / Recycle / Kill.</w:t>
      </w:r>
    </w:p>
    <w:p w14:paraId="2F690F24" w14:textId="77777777" w:rsidR="006A70CC" w:rsidRDefault="00000000">
      <w:pPr>
        <w:spacing w:after="120" w:line="276" w:lineRule="auto"/>
      </w:pPr>
      <w:r>
        <w:rPr>
          <w:color w:val="334155"/>
        </w:rPr>
        <w:t xml:space="preserve">Biases to </w:t>
      </w:r>
      <w:proofErr w:type="gramStart"/>
      <w:r>
        <w:rPr>
          <w:color w:val="334155"/>
        </w:rPr>
        <w:t>watch:</w:t>
      </w:r>
      <w:proofErr w:type="gramEnd"/>
      <w:r>
        <w:rPr>
          <w:color w:val="334155"/>
        </w:rPr>
        <w:t xml:space="preserve"> champion bias (judging the person, not the file); representativeness ('it looks like a success, so it will work'); status quo (launching so the portfolio does not have to change).</w:t>
      </w:r>
    </w:p>
    <w:p w14:paraId="6C76B510" w14:textId="77777777" w:rsidR="006A70CC" w:rsidRDefault="00000000">
      <w:pPr>
        <w:pStyle w:val="Heading1"/>
        <w:pBdr>
          <w:bottom w:val="single" w:sz="12" w:space="4" w:color="1B365D"/>
        </w:pBdr>
      </w:pPr>
      <w:r>
        <w:t>6. Gate 1 — Select / Pre-feasibility / FEL-2</w:t>
      </w:r>
    </w:p>
    <w:p w14:paraId="210D109D" w14:textId="77777777" w:rsidR="006A70CC" w:rsidRDefault="00000000">
      <w:pPr>
        <w:spacing w:after="120" w:line="276" w:lineRule="auto"/>
      </w:pPr>
      <w:r>
        <w:rPr>
          <w:color w:val="334155"/>
        </w:rPr>
        <w:t xml:space="preserve">Objective: a preferred option that can already be compared, with a </w:t>
      </w:r>
      <w:proofErr w:type="gramStart"/>
      <w:r>
        <w:rPr>
          <w:color w:val="334155"/>
        </w:rPr>
        <w:t>still-fragile</w:t>
      </w:r>
      <w:proofErr w:type="gramEnd"/>
      <w:r>
        <w:rPr>
          <w:color w:val="334155"/>
        </w:rPr>
        <w:t xml:space="preserve"> but discriminating business case. Do not open FEED unless the option survives an external look.</w:t>
      </w:r>
    </w:p>
    <w:p w14:paraId="0D431CCC" w14:textId="77777777" w:rsidR="006A70CC" w:rsidRDefault="00000000">
      <w:pPr>
        <w:pStyle w:val="Heading2"/>
      </w:pPr>
      <w:r>
        <w:t>6.1 Work to complete</w:t>
      </w:r>
    </w:p>
    <w:p w14:paraId="62B475B4" w14:textId="77777777" w:rsidR="006A70CC" w:rsidRDefault="00000000">
      <w:pPr>
        <w:pStyle w:val="ListParagraph"/>
        <w:numPr>
          <w:ilvl w:val="0"/>
          <w:numId w:val="5"/>
        </w:numPr>
        <w:spacing w:after="60" w:line="260" w:lineRule="auto"/>
      </w:pPr>
      <w:r>
        <w:rPr>
          <w:color w:val="334155"/>
        </w:rPr>
        <w:t>Comparative concept studies: capacity, site, technology, make-or-buy, phasing, partners.</w:t>
      </w:r>
    </w:p>
    <w:p w14:paraId="4014720D" w14:textId="77777777" w:rsidR="006A70CC" w:rsidRDefault="00000000">
      <w:pPr>
        <w:pStyle w:val="ListParagraph"/>
        <w:numPr>
          <w:ilvl w:val="0"/>
          <w:numId w:val="5"/>
        </w:numPr>
        <w:spacing w:after="60" w:line="260" w:lineRule="auto"/>
      </w:pPr>
      <w:r>
        <w:rPr>
          <w:color w:val="334155"/>
        </w:rPr>
        <w:t>First Class 4 capex/</w:t>
      </w:r>
      <w:proofErr w:type="spellStart"/>
      <w:r>
        <w:rPr>
          <w:color w:val="334155"/>
        </w:rPr>
        <w:t>opex</w:t>
      </w:r>
      <w:proofErr w:type="spellEnd"/>
      <w:r>
        <w:rPr>
          <w:color w:val="334155"/>
        </w:rPr>
        <w:t xml:space="preserve"> estimate (±30%), including offsites and owner's costs.</w:t>
      </w:r>
    </w:p>
    <w:p w14:paraId="6B6839A2" w14:textId="77777777" w:rsidR="006A70CC" w:rsidRDefault="00000000">
      <w:pPr>
        <w:pStyle w:val="ListParagraph"/>
        <w:numPr>
          <w:ilvl w:val="0"/>
          <w:numId w:val="5"/>
        </w:numPr>
        <w:spacing w:after="60" w:line="260" w:lineRule="auto"/>
      </w:pPr>
      <w:r>
        <w:rPr>
          <w:color w:val="334155"/>
        </w:rPr>
        <w:t>Economic sketch: cash flows, indicative NPV/IRR, payback, working-capital need.</w:t>
      </w:r>
    </w:p>
    <w:p w14:paraId="1877DEAF" w14:textId="77777777" w:rsidR="006A70CC" w:rsidRDefault="00000000">
      <w:pPr>
        <w:pStyle w:val="ListParagraph"/>
        <w:numPr>
          <w:ilvl w:val="0"/>
          <w:numId w:val="5"/>
        </w:numPr>
        <w:spacing w:after="60" w:line="260" w:lineRule="auto"/>
      </w:pPr>
      <w:r>
        <w:rPr>
          <w:color w:val="334155"/>
        </w:rPr>
        <w:t>Outside view (Lovallo &amp; Kahneman, LSE M8): reference class of comparable projects.</w:t>
      </w:r>
    </w:p>
    <w:p w14:paraId="49A6A987" w14:textId="77777777" w:rsidR="006A70CC" w:rsidRDefault="00000000">
      <w:pPr>
        <w:pStyle w:val="ListParagraph"/>
        <w:numPr>
          <w:ilvl w:val="0"/>
          <w:numId w:val="5"/>
        </w:numPr>
        <w:spacing w:after="60" w:line="260" w:lineRule="auto"/>
      </w:pPr>
      <w:r>
        <w:rPr>
          <w:color w:val="334155"/>
        </w:rPr>
        <w:t>Major risks, permits, connections, HSE, ESG, social acceptability.</w:t>
      </w:r>
    </w:p>
    <w:p w14:paraId="19C28499" w14:textId="77777777" w:rsidR="006A70CC" w:rsidRDefault="00000000">
      <w:pPr>
        <w:pStyle w:val="ListParagraph"/>
        <w:numPr>
          <w:ilvl w:val="0"/>
          <w:numId w:val="5"/>
        </w:numPr>
        <w:spacing w:after="60" w:line="260" w:lineRule="auto"/>
      </w:pPr>
      <w:r>
        <w:rPr>
          <w:color w:val="334155"/>
        </w:rPr>
        <w:t>First contract and financing strategy (debt / equity / JV).</w:t>
      </w:r>
    </w:p>
    <w:p w14:paraId="5665B247" w14:textId="77777777" w:rsidR="006A70CC" w:rsidRDefault="00000000">
      <w:pPr>
        <w:pStyle w:val="ListParagraph"/>
        <w:numPr>
          <w:ilvl w:val="0"/>
          <w:numId w:val="5"/>
        </w:numPr>
        <w:spacing w:after="60" w:line="260" w:lineRule="auto"/>
      </w:pPr>
      <w:r>
        <w:rPr>
          <w:color w:val="334155"/>
        </w:rPr>
        <w:t>Design-to-cost: LSE target costing if the market sets the price.</w:t>
      </w:r>
    </w:p>
    <w:p w14:paraId="16753FB0" w14:textId="77777777" w:rsidR="006A70CC" w:rsidRDefault="00000000">
      <w:pPr>
        <w:pStyle w:val="Heading2"/>
      </w:pPr>
      <w:r>
        <w:t>6.2 Outside-view protocol — five LSE steps</w:t>
      </w:r>
    </w:p>
    <w:p w14:paraId="2B18FA03" w14:textId="77777777" w:rsidR="006A70CC" w:rsidRDefault="00000000">
      <w:pPr>
        <w:pStyle w:val="ListParagraph"/>
        <w:numPr>
          <w:ilvl w:val="0"/>
          <w:numId w:val="6"/>
        </w:numPr>
        <w:spacing w:after="60" w:line="260" w:lineRule="auto"/>
      </w:pPr>
      <w:r>
        <w:rPr>
          <w:color w:val="334155"/>
        </w:rPr>
        <w:t>Select a reference class broad enough to be statistical, narrow enough to be comparable.</w:t>
      </w:r>
    </w:p>
    <w:p w14:paraId="783C0BF8" w14:textId="77777777" w:rsidR="006A70CC" w:rsidRDefault="00000000">
      <w:pPr>
        <w:pStyle w:val="ListParagraph"/>
        <w:numPr>
          <w:ilvl w:val="0"/>
          <w:numId w:val="6"/>
        </w:numPr>
        <w:spacing w:after="60" w:line="260" w:lineRule="auto"/>
      </w:pPr>
      <w:r>
        <w:rPr>
          <w:color w:val="334155"/>
        </w:rPr>
        <w:t>Map the outcome distribution (median, clusters, cost / schedule / NPV outliers).</w:t>
      </w:r>
    </w:p>
    <w:p w14:paraId="32A422DA" w14:textId="77777777" w:rsidR="006A70CC" w:rsidRDefault="00000000">
      <w:pPr>
        <w:pStyle w:val="ListParagraph"/>
        <w:numPr>
          <w:ilvl w:val="0"/>
          <w:numId w:val="6"/>
        </w:numPr>
        <w:spacing w:after="60" w:line="260" w:lineRule="auto"/>
      </w:pPr>
      <w:r>
        <w:rPr>
          <w:color w:val="334155"/>
        </w:rPr>
        <w:t>Place your project intuitively in that distribution (inside view).</w:t>
      </w:r>
    </w:p>
    <w:p w14:paraId="5DD9E57A" w14:textId="77777777" w:rsidR="006A70CC" w:rsidRDefault="00000000">
      <w:pPr>
        <w:pStyle w:val="ListParagraph"/>
        <w:numPr>
          <w:ilvl w:val="0"/>
          <w:numId w:val="6"/>
        </w:numPr>
        <w:spacing w:after="60" w:line="260" w:lineRule="auto"/>
      </w:pPr>
      <w:r>
        <w:rPr>
          <w:color w:val="334155"/>
        </w:rPr>
        <w:t>Assess how reliable your past forecasts of this type have been.</w:t>
      </w:r>
    </w:p>
    <w:p w14:paraId="0B4562D3" w14:textId="77777777" w:rsidR="006A70CC" w:rsidRDefault="00000000">
      <w:pPr>
        <w:pStyle w:val="ListParagraph"/>
        <w:numPr>
          <w:ilvl w:val="0"/>
          <w:numId w:val="6"/>
        </w:numPr>
        <w:spacing w:after="60" w:line="260" w:lineRule="auto"/>
      </w:pPr>
      <w:r>
        <w:rPr>
          <w:color w:val="334155"/>
        </w:rPr>
        <w:t>Correct the estimate toward the class mean: the less reliable the forecast, the more you regress to the mean.</w:t>
      </w:r>
    </w:p>
    <w:p w14:paraId="7FECE289" w14:textId="77777777" w:rsidR="006A70CC" w:rsidRDefault="00000000">
      <w:pPr>
        <w:spacing w:after="120" w:line="276" w:lineRule="auto"/>
      </w:pPr>
      <w:r>
        <w:rPr>
          <w:color w:val="334155"/>
        </w:rPr>
        <w:t xml:space="preserve">LSE example: the Scottish Parliament estimated at £10–40m for 2001, delivered at £414m in 2004. That is the planning fallacy as public monument. </w:t>
      </w:r>
      <w:proofErr w:type="gramStart"/>
      <w:r>
        <w:rPr>
          <w:color w:val="334155"/>
        </w:rPr>
        <w:t>A</w:t>
      </w:r>
      <w:proofErr w:type="gramEnd"/>
      <w:r>
        <w:rPr>
          <w:color w:val="334155"/>
        </w:rPr>
        <w:t xml:space="preserve"> FID that ignores the reference class repeats the same error.</w:t>
      </w:r>
    </w:p>
    <w:p w14:paraId="3DBB9037" w14:textId="77777777" w:rsidR="006A70CC" w:rsidRDefault="00000000">
      <w:pPr>
        <w:pStyle w:val="Heading2"/>
      </w:pPr>
      <w:r>
        <w:t>6.3 Gate deliverable and decision</w:t>
      </w:r>
    </w:p>
    <w:p w14:paraId="5F985DC7" w14:textId="523952B1" w:rsidR="000834AD" w:rsidRDefault="00000000">
      <w:pPr>
        <w:spacing w:after="120" w:line="276" w:lineRule="auto"/>
        <w:rPr>
          <w:color w:val="334155"/>
        </w:rPr>
      </w:pPr>
      <w:r>
        <w:rPr>
          <w:color w:val="334155"/>
        </w:rPr>
        <w:t>Deliverable: Concept select report + preliminary business case + Gate 1 risk register. Decision: authorise FEED (budget and duration capped) / Recycle options / Kill.</w:t>
      </w:r>
    </w:p>
    <w:p w14:paraId="2865534C" w14:textId="7B889C33" w:rsidR="006A70CC" w:rsidRPr="000834AD" w:rsidRDefault="000834AD" w:rsidP="000834AD">
      <w:pPr>
        <w:rPr>
          <w:color w:val="334155"/>
        </w:rPr>
      </w:pPr>
      <w:r>
        <w:rPr>
          <w:color w:val="334155"/>
        </w:rPr>
        <w:br w:type="page"/>
      </w:r>
    </w:p>
    <w:p w14:paraId="7352864A" w14:textId="77777777" w:rsidR="006A70CC" w:rsidRDefault="00000000">
      <w:pPr>
        <w:pStyle w:val="Heading1"/>
        <w:pBdr>
          <w:bottom w:val="single" w:sz="12" w:space="4" w:color="1B365D"/>
        </w:pBdr>
      </w:pPr>
      <w:r>
        <w:lastRenderedPageBreak/>
        <w:t>7. Gate 2 — Define / FEED / Feasibility / FEL-3</w:t>
      </w:r>
    </w:p>
    <w:p w14:paraId="3FF6AD68" w14:textId="77777777" w:rsidR="006A70CC" w:rsidRDefault="00000000">
      <w:pPr>
        <w:spacing w:after="120" w:line="276" w:lineRule="auto"/>
      </w:pPr>
      <w:r>
        <w:rPr>
          <w:color w:val="334155"/>
        </w:rPr>
        <w:t xml:space="preserve">Objective: an executable project. This is roughly 80% of the intellectual work before FID. </w:t>
      </w:r>
      <w:proofErr w:type="gramStart"/>
      <w:r>
        <w:rPr>
          <w:color w:val="334155"/>
        </w:rPr>
        <w:t>A</w:t>
      </w:r>
      <w:proofErr w:type="gramEnd"/>
      <w:r>
        <w:rPr>
          <w:color w:val="334155"/>
        </w:rPr>
        <w:t xml:space="preserve"> FID file without a mature FEED is not </w:t>
      </w:r>
      <w:proofErr w:type="gramStart"/>
      <w:r>
        <w:rPr>
          <w:color w:val="334155"/>
        </w:rPr>
        <w:t>a</w:t>
      </w:r>
      <w:proofErr w:type="gramEnd"/>
      <w:r>
        <w:rPr>
          <w:color w:val="334155"/>
        </w:rPr>
        <w:t xml:space="preserve"> FID: it is a request for a blank cheque.</w:t>
      </w:r>
    </w:p>
    <w:p w14:paraId="7567579A" w14:textId="77777777" w:rsidR="006A70CC" w:rsidRDefault="00000000">
      <w:pPr>
        <w:pStyle w:val="Heading2"/>
      </w:pPr>
      <w:r>
        <w:t>7.1 Engineering and scope</w:t>
      </w:r>
    </w:p>
    <w:p w14:paraId="1898B392" w14:textId="77777777" w:rsidR="006A70CC" w:rsidRDefault="00000000">
      <w:pPr>
        <w:pStyle w:val="ListParagraph"/>
        <w:numPr>
          <w:ilvl w:val="0"/>
          <w:numId w:val="7"/>
        </w:numPr>
        <w:spacing w:after="60" w:line="260" w:lineRule="auto"/>
      </w:pPr>
      <w:r>
        <w:rPr>
          <w:color w:val="334155"/>
        </w:rPr>
        <w:t>Frozen design basis: capacity, availability, product specs, codes, site assumptions.</w:t>
      </w:r>
    </w:p>
    <w:p w14:paraId="352DAED9" w14:textId="77777777" w:rsidR="006A70CC" w:rsidRDefault="00000000">
      <w:pPr>
        <w:pStyle w:val="ListParagraph"/>
        <w:numPr>
          <w:ilvl w:val="0"/>
          <w:numId w:val="7"/>
        </w:numPr>
        <w:spacing w:after="60" w:line="260" w:lineRule="auto"/>
      </w:pPr>
      <w:r>
        <w:rPr>
          <w:color w:val="334155"/>
        </w:rPr>
        <w:t>FEED: PFDs/P&amp;IDs or sector equivalent, plot plan, key MTOs, interfaces, utilities.</w:t>
      </w:r>
    </w:p>
    <w:p w14:paraId="34998743" w14:textId="77777777" w:rsidR="006A70CC" w:rsidRDefault="00000000">
      <w:pPr>
        <w:pStyle w:val="ListParagraph"/>
        <w:numPr>
          <w:ilvl w:val="0"/>
          <w:numId w:val="7"/>
        </w:numPr>
        <w:spacing w:after="60" w:line="260" w:lineRule="auto"/>
      </w:pPr>
      <w:r>
        <w:rPr>
          <w:color w:val="334155"/>
        </w:rPr>
        <w:t>Long-lead items identified; procurement lead times on the critical path.</w:t>
      </w:r>
    </w:p>
    <w:p w14:paraId="00E6D34F" w14:textId="77777777" w:rsidR="006A70CC" w:rsidRDefault="00000000">
      <w:pPr>
        <w:pStyle w:val="ListParagraph"/>
        <w:numPr>
          <w:ilvl w:val="0"/>
          <w:numId w:val="7"/>
        </w:numPr>
        <w:spacing w:after="60" w:line="260" w:lineRule="auto"/>
      </w:pPr>
      <w:r>
        <w:rPr>
          <w:color w:val="334155"/>
        </w:rPr>
        <w:t>WBS and scope dictionary: in, out, and 'to be decided before FID'.</w:t>
      </w:r>
    </w:p>
    <w:p w14:paraId="3245397E" w14:textId="77777777" w:rsidR="006A70CC" w:rsidRDefault="00000000">
      <w:pPr>
        <w:pStyle w:val="ListParagraph"/>
        <w:numPr>
          <w:ilvl w:val="0"/>
          <w:numId w:val="7"/>
        </w:numPr>
        <w:spacing w:after="60" w:line="260" w:lineRule="auto"/>
      </w:pPr>
      <w:r>
        <w:rPr>
          <w:color w:val="334155"/>
        </w:rPr>
        <w:t>Constructability, operability, maintainability, commissioning philosophy.</w:t>
      </w:r>
    </w:p>
    <w:p w14:paraId="24BB6EAB" w14:textId="77777777" w:rsidR="006A70CC" w:rsidRDefault="00000000">
      <w:pPr>
        <w:pStyle w:val="Heading2"/>
      </w:pPr>
      <w:r>
        <w:t>7.2 Estimating and schedule</w:t>
      </w:r>
    </w:p>
    <w:p w14:paraId="45915792" w14:textId="77777777" w:rsidR="006A70CC" w:rsidRDefault="00000000">
      <w:pPr>
        <w:pStyle w:val="ListParagraph"/>
        <w:numPr>
          <w:ilvl w:val="0"/>
          <w:numId w:val="7"/>
        </w:numPr>
        <w:spacing w:after="60" w:line="260" w:lineRule="auto"/>
      </w:pPr>
      <w:r>
        <w:rPr>
          <w:color w:val="334155"/>
        </w:rPr>
        <w:t>Class 3 estimate (±10 to 15%): capex, owner's costs, spares, commissioning, contingency.</w:t>
      </w:r>
    </w:p>
    <w:p w14:paraId="73D95C22" w14:textId="77777777" w:rsidR="006A70CC" w:rsidRDefault="00000000">
      <w:pPr>
        <w:pStyle w:val="ListParagraph"/>
        <w:numPr>
          <w:ilvl w:val="0"/>
          <w:numId w:val="7"/>
        </w:numPr>
        <w:spacing w:after="60" w:line="260" w:lineRule="auto"/>
      </w:pPr>
      <w:r>
        <w:rPr>
          <w:color w:val="334155"/>
        </w:rPr>
        <w:t xml:space="preserve">Typical-year </w:t>
      </w:r>
      <w:proofErr w:type="spellStart"/>
      <w:r>
        <w:rPr>
          <w:color w:val="334155"/>
        </w:rPr>
        <w:t>opex</w:t>
      </w:r>
      <w:proofErr w:type="spellEnd"/>
      <w:r>
        <w:rPr>
          <w:color w:val="334155"/>
        </w:rPr>
        <w:t xml:space="preserve"> + ramp-up + </w:t>
      </w:r>
      <w:proofErr w:type="gramStart"/>
      <w:r>
        <w:rPr>
          <w:color w:val="334155"/>
        </w:rPr>
        <w:t>life-cycle</w:t>
      </w:r>
      <w:proofErr w:type="gramEnd"/>
      <w:r>
        <w:rPr>
          <w:color w:val="334155"/>
        </w:rPr>
        <w:t xml:space="preserve"> (LSE total life-cycle costing, including post-production).</w:t>
      </w:r>
    </w:p>
    <w:p w14:paraId="74B06FA5" w14:textId="77777777" w:rsidR="006A70CC" w:rsidRDefault="00000000">
      <w:pPr>
        <w:pStyle w:val="ListParagraph"/>
        <w:numPr>
          <w:ilvl w:val="0"/>
          <w:numId w:val="7"/>
        </w:numPr>
        <w:spacing w:after="60" w:line="260" w:lineRule="auto"/>
      </w:pPr>
      <w:r>
        <w:rPr>
          <w:color w:val="334155"/>
        </w:rPr>
        <w:t>Integrated Level 2/3 schedule, critical path, float, construction seasonality.</w:t>
      </w:r>
    </w:p>
    <w:p w14:paraId="2FB81157" w14:textId="77777777" w:rsidR="006A70CC" w:rsidRDefault="00000000">
      <w:pPr>
        <w:pStyle w:val="ListParagraph"/>
        <w:numPr>
          <w:ilvl w:val="0"/>
          <w:numId w:val="7"/>
        </w:numPr>
        <w:spacing w:after="60" w:line="260" w:lineRule="auto"/>
      </w:pPr>
      <w:r>
        <w:rPr>
          <w:color w:val="334155"/>
        </w:rPr>
        <w:t>Contingency calibrated to risk (not a political cushion). Escalation and change allowance held separately.</w:t>
      </w:r>
    </w:p>
    <w:p w14:paraId="437E0EF2" w14:textId="77777777" w:rsidR="006A70CC" w:rsidRDefault="00000000">
      <w:pPr>
        <w:pStyle w:val="Heading2"/>
      </w:pPr>
      <w:r>
        <w:t>7.3 Contracts, permits, HSE, ESG, financing</w:t>
      </w:r>
    </w:p>
    <w:p w14:paraId="561039AC" w14:textId="77777777" w:rsidR="006A70CC" w:rsidRDefault="00000000">
      <w:pPr>
        <w:pStyle w:val="ListParagraph"/>
        <w:numPr>
          <w:ilvl w:val="0"/>
          <w:numId w:val="7"/>
        </w:numPr>
        <w:spacing w:after="60" w:line="260" w:lineRule="auto"/>
      </w:pPr>
      <w:r>
        <w:rPr>
          <w:color w:val="334155"/>
        </w:rPr>
        <w:t>Contract strategy: lump-sum EPC, EPCM, packages, alliance — risk allocation written down.</w:t>
      </w:r>
    </w:p>
    <w:p w14:paraId="47815A91" w14:textId="77777777" w:rsidR="006A70CC" w:rsidRDefault="00000000">
      <w:pPr>
        <w:pStyle w:val="ListParagraph"/>
        <w:numPr>
          <w:ilvl w:val="0"/>
          <w:numId w:val="7"/>
        </w:numPr>
        <w:spacing w:after="60" w:line="260" w:lineRule="auto"/>
      </w:pPr>
      <w:r>
        <w:rPr>
          <w:color w:val="334155"/>
        </w:rPr>
        <w:t>Draft contracts ready to sign the day after FID (or a dated negotiation path).</w:t>
      </w:r>
    </w:p>
    <w:p w14:paraId="487C59C5" w14:textId="77777777" w:rsidR="006A70CC" w:rsidRDefault="00000000">
      <w:pPr>
        <w:pStyle w:val="ListParagraph"/>
        <w:numPr>
          <w:ilvl w:val="0"/>
          <w:numId w:val="7"/>
        </w:numPr>
        <w:spacing w:after="60" w:line="260" w:lineRule="auto"/>
      </w:pPr>
      <w:r>
        <w:rPr>
          <w:color w:val="334155"/>
        </w:rPr>
        <w:t>Permits / land / connections: status, critical path, conditions precedent.</w:t>
      </w:r>
    </w:p>
    <w:p w14:paraId="658CC663" w14:textId="77777777" w:rsidR="006A70CC" w:rsidRDefault="00000000">
      <w:pPr>
        <w:pStyle w:val="ListParagraph"/>
        <w:numPr>
          <w:ilvl w:val="0"/>
          <w:numId w:val="7"/>
        </w:numPr>
        <w:spacing w:after="60" w:line="260" w:lineRule="auto"/>
      </w:pPr>
      <w:r>
        <w:rPr>
          <w:color w:val="334155"/>
        </w:rPr>
        <w:t xml:space="preserve">HSE case, environment, social, climate: commitments and associated </w:t>
      </w:r>
      <w:proofErr w:type="spellStart"/>
      <w:r>
        <w:rPr>
          <w:color w:val="334155"/>
        </w:rPr>
        <w:t>opex</w:t>
      </w:r>
      <w:proofErr w:type="spellEnd"/>
      <w:r>
        <w:rPr>
          <w:color w:val="334155"/>
        </w:rPr>
        <w:t xml:space="preserve"> costed.</w:t>
      </w:r>
    </w:p>
    <w:p w14:paraId="64A3AC6A" w14:textId="77777777" w:rsidR="006A70CC" w:rsidRDefault="00000000">
      <w:pPr>
        <w:pStyle w:val="ListParagraph"/>
        <w:numPr>
          <w:ilvl w:val="0"/>
          <w:numId w:val="7"/>
        </w:numPr>
        <w:spacing w:after="60" w:line="260" w:lineRule="auto"/>
      </w:pPr>
      <w:r>
        <w:rPr>
          <w:color w:val="334155"/>
        </w:rPr>
        <w:t>Financing structure: term sheet, covenants, gearing and liquidity impact (LSE M7).</w:t>
      </w:r>
    </w:p>
    <w:p w14:paraId="761A4049" w14:textId="77777777" w:rsidR="006A70CC" w:rsidRDefault="00000000">
      <w:pPr>
        <w:pStyle w:val="ListParagraph"/>
        <w:numPr>
          <w:ilvl w:val="0"/>
          <w:numId w:val="7"/>
        </w:numPr>
        <w:spacing w:after="60" w:line="260" w:lineRule="auto"/>
      </w:pPr>
      <w:r>
        <w:rPr>
          <w:color w:val="334155"/>
        </w:rPr>
        <w:t>Owner team: execution organogram, critical hires, project assurance.</w:t>
      </w:r>
    </w:p>
    <w:p w14:paraId="6821324B" w14:textId="77777777" w:rsidR="006A70CC" w:rsidRDefault="00000000">
      <w:pPr>
        <w:pStyle w:val="Heading2"/>
      </w:pPr>
      <w:r>
        <w:t>7.4 Mandatory pre-mortem before the file is sent</w:t>
      </w:r>
    </w:p>
    <w:p w14:paraId="5C935829" w14:textId="77777777" w:rsidR="006A70CC" w:rsidRDefault="00000000">
      <w:pPr>
        <w:spacing w:after="120" w:line="276" w:lineRule="auto"/>
      </w:pPr>
      <w:r>
        <w:rPr>
          <w:color w:val="334155"/>
        </w:rPr>
        <w:t>LSE / Klein / Kahneman protocol: “Imagine we are one year into the future. We implemented the plan as it now exists. The outcome was a disaster. Please take 5 to 10 minutes to write a brief history of that disaster.”</w:t>
      </w:r>
    </w:p>
    <w:p w14:paraId="1BAA12D6" w14:textId="77777777" w:rsidR="006A70CC" w:rsidRDefault="00000000">
      <w:pPr>
        <w:spacing w:after="120" w:line="276" w:lineRule="auto"/>
      </w:pPr>
      <w:r>
        <w:rPr>
          <w:color w:val="334155"/>
        </w:rPr>
        <w:t>This forces consider-the-opposite, bypasses group censorship once a plan feels 'too advanced</w:t>
      </w:r>
      <w:proofErr w:type="gramStart"/>
      <w:r>
        <w:rPr>
          <w:color w:val="334155"/>
        </w:rPr>
        <w:t>', and</w:t>
      </w:r>
      <w:proofErr w:type="gramEnd"/>
      <w:r>
        <w:rPr>
          <w:color w:val="334155"/>
        </w:rPr>
        <w:t xml:space="preserve"> feeds the FID risk register. Typical causes to surface: policy reversal, sponsor departure, underestimated interfaces, commodity price, contractor underperformance, permits.</w:t>
      </w:r>
    </w:p>
    <w:p w14:paraId="66A14B78" w14:textId="77777777" w:rsidR="006A70CC" w:rsidRDefault="00000000">
      <w:pPr>
        <w:pStyle w:val="Heading1"/>
        <w:pBdr>
          <w:bottom w:val="single" w:sz="12" w:space="4" w:color="1B365D"/>
        </w:pBdr>
      </w:pPr>
      <w:r>
        <w:t>8. Gate 3 — The FID</w:t>
      </w:r>
    </w:p>
    <w:p w14:paraId="54D92F7B" w14:textId="77777777" w:rsidR="006A70CC" w:rsidRDefault="00000000">
      <w:pPr>
        <w:spacing w:after="120" w:line="276" w:lineRule="auto"/>
      </w:pPr>
      <w:r>
        <w:rPr>
          <w:color w:val="334155"/>
        </w:rPr>
        <w:t>The committee is not 'validating a slide deck'. It is allocating capital. Session quality depends on package quality and challenge quality.</w:t>
      </w:r>
    </w:p>
    <w:p w14:paraId="2AFF6950" w14:textId="77777777" w:rsidR="006A70CC" w:rsidRDefault="00000000">
      <w:pPr>
        <w:pStyle w:val="Heading2"/>
      </w:pPr>
      <w:r>
        <w:t>8.1 Questions the committee must ask</w:t>
      </w:r>
    </w:p>
    <w:p w14:paraId="2377DD8F" w14:textId="77777777" w:rsidR="006A70CC" w:rsidRDefault="00000000">
      <w:pPr>
        <w:pStyle w:val="ListParagraph"/>
        <w:numPr>
          <w:ilvl w:val="0"/>
          <w:numId w:val="8"/>
        </w:numPr>
        <w:spacing w:after="60" w:line="260" w:lineRule="auto"/>
      </w:pPr>
      <w:r>
        <w:rPr>
          <w:color w:val="334155"/>
        </w:rPr>
        <w:t>What is NPV at WACC / hurdle, and what happens if capex +15%, schedule +12 months, price −20%?</w:t>
      </w:r>
    </w:p>
    <w:p w14:paraId="487B72F7" w14:textId="77777777" w:rsidR="006A70CC" w:rsidRDefault="00000000">
      <w:pPr>
        <w:pStyle w:val="ListParagraph"/>
        <w:numPr>
          <w:ilvl w:val="0"/>
          <w:numId w:val="8"/>
        </w:numPr>
        <w:spacing w:after="60" w:line="260" w:lineRule="auto"/>
      </w:pPr>
      <w:r>
        <w:rPr>
          <w:color w:val="334155"/>
        </w:rPr>
        <w:t>Does IRR really beat opportunity cost, or only the team's base case?</w:t>
      </w:r>
    </w:p>
    <w:p w14:paraId="42F65A87" w14:textId="77777777" w:rsidR="006A70CC" w:rsidRDefault="00000000">
      <w:pPr>
        <w:pStyle w:val="ListParagraph"/>
        <w:numPr>
          <w:ilvl w:val="0"/>
          <w:numId w:val="8"/>
        </w:numPr>
        <w:spacing w:after="60" w:line="260" w:lineRule="auto"/>
      </w:pPr>
      <w:r>
        <w:rPr>
          <w:color w:val="334155"/>
        </w:rPr>
        <w:t>What is payback, and do we have the liquidity to fund the cash trough?</w:t>
      </w:r>
    </w:p>
    <w:p w14:paraId="7FFBBCFD" w14:textId="77777777" w:rsidR="006A70CC" w:rsidRDefault="00000000">
      <w:pPr>
        <w:pStyle w:val="ListParagraph"/>
        <w:numPr>
          <w:ilvl w:val="0"/>
          <w:numId w:val="8"/>
        </w:numPr>
        <w:spacing w:after="60" w:line="260" w:lineRule="auto"/>
      </w:pPr>
      <w:r>
        <w:rPr>
          <w:color w:val="334155"/>
        </w:rPr>
        <w:t>Which external reference class justifies cost and schedule? (outside view)</w:t>
      </w:r>
    </w:p>
    <w:p w14:paraId="778E2ED7" w14:textId="77777777" w:rsidR="006A70CC" w:rsidRDefault="00000000">
      <w:pPr>
        <w:pStyle w:val="ListParagraph"/>
        <w:numPr>
          <w:ilvl w:val="0"/>
          <w:numId w:val="8"/>
        </w:numPr>
        <w:spacing w:after="60" w:line="260" w:lineRule="auto"/>
      </w:pPr>
      <w:r>
        <w:rPr>
          <w:color w:val="334155"/>
        </w:rPr>
        <w:t xml:space="preserve">What did the pre-mortem teach us? What would </w:t>
      </w:r>
      <w:proofErr w:type="gramStart"/>
      <w:r>
        <w:rPr>
          <w:color w:val="334155"/>
        </w:rPr>
        <w:t>actually destroy</w:t>
      </w:r>
      <w:proofErr w:type="gramEnd"/>
      <w:r>
        <w:rPr>
          <w:color w:val="334155"/>
        </w:rPr>
        <w:t xml:space="preserve"> value?</w:t>
      </w:r>
    </w:p>
    <w:p w14:paraId="24A7F4C1" w14:textId="77777777" w:rsidR="006A70CC" w:rsidRDefault="00000000">
      <w:pPr>
        <w:pStyle w:val="ListParagraph"/>
        <w:numPr>
          <w:ilvl w:val="0"/>
          <w:numId w:val="8"/>
        </w:numPr>
        <w:spacing w:after="60" w:line="260" w:lineRule="auto"/>
      </w:pPr>
      <w:r>
        <w:rPr>
          <w:color w:val="334155"/>
        </w:rPr>
        <w:lastRenderedPageBreak/>
        <w:t>Is scope frozen? How many hold points remain open?</w:t>
      </w:r>
    </w:p>
    <w:p w14:paraId="5A655353" w14:textId="77777777" w:rsidR="006A70CC" w:rsidRDefault="00000000">
      <w:pPr>
        <w:pStyle w:val="ListParagraph"/>
        <w:numPr>
          <w:ilvl w:val="0"/>
          <w:numId w:val="8"/>
        </w:numPr>
        <w:spacing w:after="60" w:line="260" w:lineRule="auto"/>
      </w:pPr>
      <w:r>
        <w:rPr>
          <w:color w:val="334155"/>
        </w:rPr>
        <w:t>Are permits and financing clear conditions precedent?</w:t>
      </w:r>
    </w:p>
    <w:p w14:paraId="7C3A6E5E" w14:textId="77777777" w:rsidR="006A70CC" w:rsidRDefault="00000000">
      <w:pPr>
        <w:pStyle w:val="ListParagraph"/>
        <w:numPr>
          <w:ilvl w:val="0"/>
          <w:numId w:val="8"/>
        </w:numPr>
        <w:spacing w:after="60" w:line="260" w:lineRule="auto"/>
      </w:pPr>
      <w:r>
        <w:rPr>
          <w:color w:val="334155"/>
        </w:rPr>
        <w:t>What is the balance-sheet impact: gearing, current ratio, covenants, rating?</w:t>
      </w:r>
    </w:p>
    <w:p w14:paraId="68A8F678" w14:textId="77777777" w:rsidR="006A70CC" w:rsidRDefault="00000000">
      <w:pPr>
        <w:pStyle w:val="ListParagraph"/>
        <w:numPr>
          <w:ilvl w:val="0"/>
          <w:numId w:val="8"/>
        </w:numPr>
        <w:spacing w:after="60" w:line="260" w:lineRule="auto"/>
      </w:pPr>
      <w:r>
        <w:rPr>
          <w:color w:val="334155"/>
        </w:rPr>
        <w:t>Why now, and what is the option value of waiting?</w:t>
      </w:r>
    </w:p>
    <w:p w14:paraId="35045035" w14:textId="77777777" w:rsidR="006A70CC" w:rsidRDefault="00000000">
      <w:pPr>
        <w:pStyle w:val="ListParagraph"/>
        <w:numPr>
          <w:ilvl w:val="0"/>
          <w:numId w:val="8"/>
        </w:numPr>
        <w:spacing w:after="60" w:line="260" w:lineRule="auto"/>
      </w:pPr>
      <w:r>
        <w:rPr>
          <w:color w:val="334155"/>
        </w:rPr>
        <w:t>If we have 100 of scarce capital, is this still the best use?</w:t>
      </w:r>
    </w:p>
    <w:p w14:paraId="0185C957" w14:textId="77777777" w:rsidR="006A70CC" w:rsidRDefault="00000000">
      <w:pPr>
        <w:pStyle w:val="Heading2"/>
      </w:pPr>
      <w:r>
        <w:t>8.2 Typical conditions precedent</w:t>
      </w:r>
    </w:p>
    <w:p w14:paraId="0489B80B" w14:textId="77777777" w:rsidR="006A70CC" w:rsidRDefault="00000000">
      <w:pPr>
        <w:pStyle w:val="ListParagraph"/>
        <w:numPr>
          <w:ilvl w:val="0"/>
          <w:numId w:val="9"/>
        </w:numPr>
        <w:spacing w:after="60" w:line="260" w:lineRule="auto"/>
      </w:pPr>
      <w:r>
        <w:rPr>
          <w:color w:val="334155"/>
        </w:rPr>
        <w:t>Financial close / syndication / partner equity call.</w:t>
      </w:r>
    </w:p>
    <w:p w14:paraId="326642A2" w14:textId="77777777" w:rsidR="006A70CC" w:rsidRDefault="00000000">
      <w:pPr>
        <w:pStyle w:val="ListParagraph"/>
        <w:numPr>
          <w:ilvl w:val="0"/>
          <w:numId w:val="9"/>
        </w:numPr>
        <w:spacing w:after="60" w:line="260" w:lineRule="auto"/>
      </w:pPr>
      <w:r>
        <w:rPr>
          <w:color w:val="334155"/>
        </w:rPr>
        <w:t>Determining permit obtained, or drop-dead date.</w:t>
      </w:r>
    </w:p>
    <w:p w14:paraId="18170E84" w14:textId="77777777" w:rsidR="006A70CC" w:rsidRDefault="00000000">
      <w:pPr>
        <w:pStyle w:val="ListParagraph"/>
        <w:numPr>
          <w:ilvl w:val="0"/>
          <w:numId w:val="9"/>
        </w:numPr>
        <w:spacing w:after="60" w:line="260" w:lineRule="auto"/>
      </w:pPr>
      <w:r>
        <w:rPr>
          <w:color w:val="334155"/>
        </w:rPr>
        <w:t>Mirror FID of co-investors.</w:t>
      </w:r>
    </w:p>
    <w:p w14:paraId="4794AEFD" w14:textId="77777777" w:rsidR="006A70CC" w:rsidRDefault="00000000">
      <w:pPr>
        <w:pStyle w:val="ListParagraph"/>
        <w:numPr>
          <w:ilvl w:val="0"/>
          <w:numId w:val="9"/>
        </w:numPr>
        <w:spacing w:after="60" w:line="260" w:lineRule="auto"/>
      </w:pPr>
      <w:r>
        <w:rPr>
          <w:color w:val="334155"/>
        </w:rPr>
        <w:t>Price / FX hedge if the model requires it.</w:t>
      </w:r>
    </w:p>
    <w:p w14:paraId="2E09F79D" w14:textId="77777777" w:rsidR="006A70CC" w:rsidRDefault="00000000">
      <w:pPr>
        <w:pStyle w:val="ListParagraph"/>
        <w:numPr>
          <w:ilvl w:val="0"/>
          <w:numId w:val="9"/>
        </w:numPr>
        <w:spacing w:after="60" w:line="260" w:lineRule="auto"/>
      </w:pPr>
      <w:r>
        <w:rPr>
          <w:color w:val="334155"/>
        </w:rPr>
        <w:t>EPC contracts signed inside an authorised envelope.</w:t>
      </w:r>
    </w:p>
    <w:p w14:paraId="4F6D2025" w14:textId="77777777" w:rsidR="006A70CC" w:rsidRDefault="00000000">
      <w:pPr>
        <w:pStyle w:val="Heading1"/>
        <w:pBdr>
          <w:bottom w:val="single" w:sz="12" w:space="4" w:color="1B365D"/>
        </w:pBdr>
      </w:pPr>
      <w:r>
        <w:t>9. Standard FID package (committee file)</w:t>
      </w:r>
    </w:p>
    <w:p w14:paraId="28770AAD" w14:textId="77777777" w:rsidR="006A70CC" w:rsidRDefault="00000000">
      <w:pPr>
        <w:spacing w:after="120" w:line="276" w:lineRule="auto"/>
      </w:pPr>
      <w:r>
        <w:rPr>
          <w:color w:val="334155"/>
        </w:rPr>
        <w:t>The package is a binder, not a novel. Each tab has an owner, a freeze date and a status (final / draft / N/A). Copy the contents list below into the project workspace.</w:t>
      </w:r>
    </w:p>
    <w:p w14:paraId="79E16383" w14:textId="77777777" w:rsidR="006A70CC" w:rsidRDefault="00000000">
      <w:pPr>
        <w:pStyle w:val="Heading2"/>
      </w:pPr>
      <w:r>
        <w:t>9.1 Binder architecture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4938"/>
        <w:gridCol w:w="2500"/>
      </w:tblGrid>
      <w:tr w:rsidR="006A70CC" w14:paraId="6565F3D0" w14:textId="77777777">
        <w:tblPrEx>
          <w:tblCellMar>
            <w:top w:w="0" w:type="dxa"/>
            <w:bottom w:w="0" w:type="dxa"/>
          </w:tblCellMar>
        </w:tblPrEx>
        <w:trPr>
          <w:tblHeader/>
        </w:trPr>
        <w:tc>
          <w:tcPr>
            <w:tcW w:w="2200" w:type="dxa"/>
            <w:tcBorders>
              <w:top w:val="single" w:sz="4" w:space="0" w:color="CBD5E1"/>
              <w:left w:val="single" w:sz="4" w:space="0" w:color="CBD5E1"/>
              <w:bottom w:val="single" w:sz="4" w:space="0" w:color="CBD5E1"/>
              <w:right w:val="single" w:sz="4" w:space="0" w:color="CBD5E1"/>
            </w:tcBorders>
            <w:shd w:val="clear" w:color="auto" w:fill="1B365D"/>
            <w:tcMar>
              <w:top w:w="60" w:type="dxa"/>
              <w:left w:w="80" w:type="dxa"/>
              <w:bottom w:w="60" w:type="dxa"/>
              <w:right w:w="80" w:type="dxa"/>
            </w:tcMar>
            <w:vAlign w:val="center"/>
          </w:tcPr>
          <w:p w14:paraId="56B3A288" w14:textId="77777777" w:rsidR="006A70CC" w:rsidRDefault="00000000">
            <w:r>
              <w:rPr>
                <w:b/>
                <w:bCs/>
                <w:color w:val="FFFFFF"/>
                <w:sz w:val="17"/>
                <w:szCs w:val="17"/>
              </w:rPr>
              <w:t>Tab</w:t>
            </w:r>
          </w:p>
        </w:tc>
        <w:tc>
          <w:tcPr>
            <w:tcW w:w="4938" w:type="dxa"/>
            <w:tcBorders>
              <w:top w:val="single" w:sz="4" w:space="0" w:color="CBD5E1"/>
              <w:left w:val="single" w:sz="4" w:space="0" w:color="CBD5E1"/>
              <w:bottom w:val="single" w:sz="4" w:space="0" w:color="CBD5E1"/>
              <w:right w:val="single" w:sz="4" w:space="0" w:color="CBD5E1"/>
            </w:tcBorders>
            <w:shd w:val="clear" w:color="auto" w:fill="1B365D"/>
            <w:tcMar>
              <w:top w:w="60" w:type="dxa"/>
              <w:left w:w="80" w:type="dxa"/>
              <w:bottom w:w="60" w:type="dxa"/>
              <w:right w:w="80" w:type="dxa"/>
            </w:tcMar>
            <w:vAlign w:val="center"/>
          </w:tcPr>
          <w:p w14:paraId="446F24AE" w14:textId="77777777" w:rsidR="006A70CC" w:rsidRDefault="00000000">
            <w:r>
              <w:rPr>
                <w:b/>
                <w:bCs/>
                <w:color w:val="FFFFFF"/>
                <w:sz w:val="17"/>
                <w:szCs w:val="17"/>
              </w:rPr>
              <w:t>Content</w:t>
            </w:r>
          </w:p>
        </w:tc>
        <w:tc>
          <w:tcPr>
            <w:tcW w:w="2500" w:type="dxa"/>
            <w:tcBorders>
              <w:top w:val="single" w:sz="4" w:space="0" w:color="CBD5E1"/>
              <w:left w:val="single" w:sz="4" w:space="0" w:color="CBD5E1"/>
              <w:bottom w:val="single" w:sz="4" w:space="0" w:color="CBD5E1"/>
              <w:right w:val="single" w:sz="4" w:space="0" w:color="CBD5E1"/>
            </w:tcBorders>
            <w:shd w:val="clear" w:color="auto" w:fill="1B365D"/>
            <w:tcMar>
              <w:top w:w="60" w:type="dxa"/>
              <w:left w:w="80" w:type="dxa"/>
              <w:bottom w:w="60" w:type="dxa"/>
              <w:right w:w="80" w:type="dxa"/>
            </w:tcMar>
            <w:vAlign w:val="center"/>
          </w:tcPr>
          <w:p w14:paraId="76DF08EA" w14:textId="77777777" w:rsidR="006A70CC" w:rsidRDefault="00000000">
            <w:r>
              <w:rPr>
                <w:b/>
                <w:bCs/>
                <w:color w:val="FFFFFF"/>
                <w:sz w:val="17"/>
                <w:szCs w:val="17"/>
              </w:rPr>
              <w:t>Typical owner</w:t>
            </w:r>
          </w:p>
        </w:tc>
      </w:tr>
      <w:tr w:rsidR="006A70CC" w14:paraId="67A93B6B" w14:textId="77777777">
        <w:tblPrEx>
          <w:tblCellMar>
            <w:top w:w="0" w:type="dxa"/>
            <w:bottom w:w="0" w:type="dxa"/>
          </w:tblCellMar>
        </w:tblPrEx>
        <w:tc>
          <w:tcPr>
            <w:tcW w:w="22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134767AE" w14:textId="77777777" w:rsidR="006A70CC" w:rsidRDefault="00000000">
            <w:r>
              <w:rPr>
                <w:color w:val="334155"/>
                <w:sz w:val="17"/>
                <w:szCs w:val="17"/>
              </w:rPr>
              <w:t>00 Decision note</w:t>
            </w:r>
          </w:p>
        </w:tc>
        <w:tc>
          <w:tcPr>
            <w:tcW w:w="4938"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35612E04" w14:textId="77777777" w:rsidR="006A70CC" w:rsidRDefault="00000000">
            <w:r>
              <w:rPr>
                <w:color w:val="334155"/>
                <w:sz w:val="17"/>
                <w:szCs w:val="17"/>
              </w:rPr>
              <w:t>3-page recommendation: Go / Recycle / Kill + conditions</w:t>
            </w:r>
          </w:p>
        </w:tc>
        <w:tc>
          <w:tcPr>
            <w:tcW w:w="25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6C2F24F2" w14:textId="77777777" w:rsidR="006A70CC" w:rsidRDefault="00000000">
            <w:r>
              <w:rPr>
                <w:color w:val="334155"/>
                <w:sz w:val="17"/>
                <w:szCs w:val="17"/>
              </w:rPr>
              <w:t>Sponsor</w:t>
            </w:r>
          </w:p>
        </w:tc>
      </w:tr>
      <w:tr w:rsidR="006A70CC" w14:paraId="5C271ADD" w14:textId="77777777">
        <w:tblPrEx>
          <w:tblCellMar>
            <w:top w:w="0" w:type="dxa"/>
            <w:bottom w:w="0" w:type="dxa"/>
          </w:tblCellMar>
        </w:tblPrEx>
        <w:tc>
          <w:tcPr>
            <w:tcW w:w="22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62595A1A" w14:textId="77777777" w:rsidR="006A70CC" w:rsidRDefault="00000000">
            <w:r>
              <w:rPr>
                <w:color w:val="334155"/>
                <w:sz w:val="17"/>
                <w:szCs w:val="17"/>
              </w:rPr>
              <w:t>01 Strategic fit</w:t>
            </w:r>
          </w:p>
        </w:tc>
        <w:tc>
          <w:tcPr>
            <w:tcW w:w="4938"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18E2764F" w14:textId="77777777" w:rsidR="006A70CC" w:rsidRDefault="00000000">
            <w:r>
              <w:rPr>
                <w:color w:val="334155"/>
                <w:sz w:val="17"/>
                <w:szCs w:val="17"/>
              </w:rPr>
              <w:t>Problem, discarded options, advantage, timing</w:t>
            </w:r>
          </w:p>
        </w:tc>
        <w:tc>
          <w:tcPr>
            <w:tcW w:w="25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42E16687" w14:textId="77777777" w:rsidR="006A70CC" w:rsidRDefault="00000000">
            <w:r>
              <w:rPr>
                <w:color w:val="334155"/>
                <w:sz w:val="17"/>
                <w:szCs w:val="17"/>
              </w:rPr>
              <w:t>Strategy / Sponsor</w:t>
            </w:r>
          </w:p>
        </w:tc>
      </w:tr>
      <w:tr w:rsidR="006A70CC" w14:paraId="5356B2CC" w14:textId="77777777">
        <w:tblPrEx>
          <w:tblCellMar>
            <w:top w:w="0" w:type="dxa"/>
            <w:bottom w:w="0" w:type="dxa"/>
          </w:tblCellMar>
        </w:tblPrEx>
        <w:tc>
          <w:tcPr>
            <w:tcW w:w="22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633E779C" w14:textId="77777777" w:rsidR="006A70CC" w:rsidRDefault="00000000">
            <w:r>
              <w:rPr>
                <w:color w:val="334155"/>
                <w:sz w:val="17"/>
                <w:szCs w:val="17"/>
              </w:rPr>
              <w:t>02 Scope &amp; FEED</w:t>
            </w:r>
          </w:p>
        </w:tc>
        <w:tc>
          <w:tcPr>
            <w:tcW w:w="4938"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6E7F8804" w14:textId="77777777" w:rsidR="006A70CC" w:rsidRDefault="00000000">
            <w:r>
              <w:rPr>
                <w:color w:val="334155"/>
                <w:sz w:val="17"/>
                <w:szCs w:val="17"/>
              </w:rPr>
              <w:t>Design basis, exclusions, FEL maturity</w:t>
            </w:r>
          </w:p>
        </w:tc>
        <w:tc>
          <w:tcPr>
            <w:tcW w:w="25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2D91F452" w14:textId="77777777" w:rsidR="006A70CC" w:rsidRDefault="00000000">
            <w:r>
              <w:rPr>
                <w:color w:val="334155"/>
                <w:sz w:val="17"/>
                <w:szCs w:val="17"/>
              </w:rPr>
              <w:t>Engineering</w:t>
            </w:r>
          </w:p>
        </w:tc>
      </w:tr>
      <w:tr w:rsidR="006A70CC" w14:paraId="3E752F8F" w14:textId="77777777">
        <w:tblPrEx>
          <w:tblCellMar>
            <w:top w:w="0" w:type="dxa"/>
            <w:bottom w:w="0" w:type="dxa"/>
          </w:tblCellMar>
        </w:tblPrEx>
        <w:tc>
          <w:tcPr>
            <w:tcW w:w="22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4016211D" w14:textId="77777777" w:rsidR="006A70CC" w:rsidRDefault="00000000">
            <w:r>
              <w:rPr>
                <w:color w:val="334155"/>
                <w:sz w:val="17"/>
                <w:szCs w:val="17"/>
              </w:rPr>
              <w:t xml:space="preserve">03 Capex / </w:t>
            </w:r>
            <w:proofErr w:type="spellStart"/>
            <w:r>
              <w:rPr>
                <w:color w:val="334155"/>
                <w:sz w:val="17"/>
                <w:szCs w:val="17"/>
              </w:rPr>
              <w:t>opex</w:t>
            </w:r>
            <w:proofErr w:type="spellEnd"/>
            <w:r>
              <w:rPr>
                <w:color w:val="334155"/>
                <w:sz w:val="17"/>
                <w:szCs w:val="17"/>
              </w:rPr>
              <w:t xml:space="preserve"> / schedule</w:t>
            </w:r>
          </w:p>
        </w:tc>
        <w:tc>
          <w:tcPr>
            <w:tcW w:w="4938"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2C0129AE" w14:textId="77777777" w:rsidR="006A70CC" w:rsidRDefault="00000000">
            <w:r>
              <w:rPr>
                <w:color w:val="334155"/>
                <w:sz w:val="17"/>
                <w:szCs w:val="17"/>
              </w:rPr>
              <w:t>Class 3, contingency, critical path</w:t>
            </w:r>
          </w:p>
        </w:tc>
        <w:tc>
          <w:tcPr>
            <w:tcW w:w="25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43A8D160" w14:textId="77777777" w:rsidR="006A70CC" w:rsidRDefault="00000000">
            <w:r>
              <w:rPr>
                <w:color w:val="334155"/>
                <w:sz w:val="17"/>
                <w:szCs w:val="17"/>
              </w:rPr>
              <w:t>Controls / Cost</w:t>
            </w:r>
          </w:p>
        </w:tc>
      </w:tr>
      <w:tr w:rsidR="006A70CC" w14:paraId="01259CE3" w14:textId="77777777">
        <w:tblPrEx>
          <w:tblCellMar>
            <w:top w:w="0" w:type="dxa"/>
            <w:bottom w:w="0" w:type="dxa"/>
          </w:tblCellMar>
        </w:tblPrEx>
        <w:tc>
          <w:tcPr>
            <w:tcW w:w="22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30AE5911" w14:textId="77777777" w:rsidR="006A70CC" w:rsidRDefault="00000000">
            <w:r>
              <w:rPr>
                <w:color w:val="334155"/>
                <w:sz w:val="17"/>
                <w:szCs w:val="17"/>
              </w:rPr>
              <w:t>04 Business case</w:t>
            </w:r>
          </w:p>
        </w:tc>
        <w:tc>
          <w:tcPr>
            <w:tcW w:w="4938"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2B9BAC08" w14:textId="77777777" w:rsidR="006A70CC" w:rsidRDefault="00000000">
            <w:r>
              <w:rPr>
                <w:color w:val="334155"/>
                <w:sz w:val="17"/>
                <w:szCs w:val="17"/>
              </w:rPr>
              <w:t>Cash flows, NPV, IRR, payback, ARR if required</w:t>
            </w:r>
          </w:p>
        </w:tc>
        <w:tc>
          <w:tcPr>
            <w:tcW w:w="25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0E2373FE" w14:textId="77777777" w:rsidR="006A70CC" w:rsidRDefault="00000000">
            <w:r>
              <w:rPr>
                <w:color w:val="334155"/>
                <w:sz w:val="17"/>
                <w:szCs w:val="17"/>
              </w:rPr>
              <w:t>Project finance</w:t>
            </w:r>
          </w:p>
        </w:tc>
      </w:tr>
      <w:tr w:rsidR="006A70CC" w14:paraId="2892A8EF" w14:textId="77777777">
        <w:tblPrEx>
          <w:tblCellMar>
            <w:top w:w="0" w:type="dxa"/>
            <w:bottom w:w="0" w:type="dxa"/>
          </w:tblCellMar>
        </w:tblPrEx>
        <w:tc>
          <w:tcPr>
            <w:tcW w:w="22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1B005A21" w14:textId="77777777" w:rsidR="006A70CC" w:rsidRDefault="00000000">
            <w:r>
              <w:rPr>
                <w:color w:val="334155"/>
                <w:sz w:val="17"/>
                <w:szCs w:val="17"/>
              </w:rPr>
              <w:t>05 Sensitivities &amp; scenarios</w:t>
            </w:r>
          </w:p>
        </w:tc>
        <w:tc>
          <w:tcPr>
            <w:tcW w:w="4938"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778E572A" w14:textId="77777777" w:rsidR="006A70CC" w:rsidRDefault="00000000">
            <w:r>
              <w:rPr>
                <w:color w:val="334155"/>
                <w:sz w:val="17"/>
                <w:szCs w:val="17"/>
              </w:rPr>
              <w:t>Tornado, downside, rupture</w:t>
            </w:r>
          </w:p>
        </w:tc>
        <w:tc>
          <w:tcPr>
            <w:tcW w:w="25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2AB2CDEC" w14:textId="77777777" w:rsidR="006A70CC" w:rsidRDefault="00000000">
            <w:r>
              <w:rPr>
                <w:color w:val="334155"/>
                <w:sz w:val="17"/>
                <w:szCs w:val="17"/>
              </w:rPr>
              <w:t>Finance / Risk</w:t>
            </w:r>
          </w:p>
        </w:tc>
      </w:tr>
      <w:tr w:rsidR="006A70CC" w14:paraId="44EBCC12" w14:textId="77777777">
        <w:tblPrEx>
          <w:tblCellMar>
            <w:top w:w="0" w:type="dxa"/>
            <w:bottom w:w="0" w:type="dxa"/>
          </w:tblCellMar>
        </w:tblPrEx>
        <w:tc>
          <w:tcPr>
            <w:tcW w:w="22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1D679645" w14:textId="77777777" w:rsidR="006A70CC" w:rsidRDefault="00000000">
            <w:r>
              <w:rPr>
                <w:color w:val="334155"/>
                <w:sz w:val="17"/>
                <w:szCs w:val="17"/>
              </w:rPr>
              <w:t>06 Risks &amp; insurance</w:t>
            </w:r>
          </w:p>
        </w:tc>
        <w:tc>
          <w:tcPr>
            <w:tcW w:w="4938"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29FC8672" w14:textId="77777777" w:rsidR="006A70CC" w:rsidRDefault="00000000">
            <w:r>
              <w:rPr>
                <w:color w:val="334155"/>
                <w:sz w:val="17"/>
                <w:szCs w:val="17"/>
              </w:rPr>
              <w:t>Register, pre-mortem, policies</w:t>
            </w:r>
          </w:p>
        </w:tc>
        <w:tc>
          <w:tcPr>
            <w:tcW w:w="25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57BE91CA" w14:textId="77777777" w:rsidR="006A70CC" w:rsidRDefault="00000000">
            <w:r>
              <w:rPr>
                <w:color w:val="334155"/>
                <w:sz w:val="17"/>
                <w:szCs w:val="17"/>
              </w:rPr>
              <w:t>Risk</w:t>
            </w:r>
          </w:p>
        </w:tc>
      </w:tr>
      <w:tr w:rsidR="006A70CC" w14:paraId="325F497F" w14:textId="77777777">
        <w:tblPrEx>
          <w:tblCellMar>
            <w:top w:w="0" w:type="dxa"/>
            <w:bottom w:w="0" w:type="dxa"/>
          </w:tblCellMar>
        </w:tblPrEx>
        <w:tc>
          <w:tcPr>
            <w:tcW w:w="22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2500B8A4" w14:textId="77777777" w:rsidR="006A70CC" w:rsidRDefault="00000000">
            <w:r>
              <w:rPr>
                <w:color w:val="334155"/>
                <w:sz w:val="17"/>
                <w:szCs w:val="17"/>
              </w:rPr>
              <w:t>07 Contracts</w:t>
            </w:r>
          </w:p>
        </w:tc>
        <w:tc>
          <w:tcPr>
            <w:tcW w:w="4938"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27B826D9" w14:textId="77777777" w:rsidR="006A70CC" w:rsidRDefault="00000000">
            <w:r>
              <w:rPr>
                <w:color w:val="334155"/>
                <w:sz w:val="17"/>
                <w:szCs w:val="17"/>
              </w:rPr>
              <w:t>Strategy, allocation, negotiations</w:t>
            </w:r>
          </w:p>
        </w:tc>
        <w:tc>
          <w:tcPr>
            <w:tcW w:w="25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5EB7204E" w14:textId="77777777" w:rsidR="006A70CC" w:rsidRDefault="00000000">
            <w:r>
              <w:rPr>
                <w:color w:val="334155"/>
                <w:sz w:val="17"/>
                <w:szCs w:val="17"/>
              </w:rPr>
              <w:t>Contract / Legal</w:t>
            </w:r>
          </w:p>
        </w:tc>
      </w:tr>
      <w:tr w:rsidR="006A70CC" w14:paraId="70BD80AC" w14:textId="77777777">
        <w:tblPrEx>
          <w:tblCellMar>
            <w:top w:w="0" w:type="dxa"/>
            <w:bottom w:w="0" w:type="dxa"/>
          </w:tblCellMar>
        </w:tblPrEx>
        <w:tc>
          <w:tcPr>
            <w:tcW w:w="22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0C935BF7" w14:textId="77777777" w:rsidR="006A70CC" w:rsidRDefault="00000000">
            <w:r>
              <w:rPr>
                <w:color w:val="334155"/>
                <w:sz w:val="17"/>
                <w:szCs w:val="17"/>
              </w:rPr>
              <w:t>08 Permits HSE ESG</w:t>
            </w:r>
          </w:p>
        </w:tc>
        <w:tc>
          <w:tcPr>
            <w:tcW w:w="4938"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0C3BC982" w14:textId="77777777" w:rsidR="006A70CC" w:rsidRDefault="00000000">
            <w:r>
              <w:rPr>
                <w:color w:val="334155"/>
                <w:sz w:val="17"/>
                <w:szCs w:val="17"/>
              </w:rPr>
              <w:t xml:space="preserve">Status, gaps, compliance </w:t>
            </w:r>
            <w:proofErr w:type="spellStart"/>
            <w:r>
              <w:rPr>
                <w:color w:val="334155"/>
                <w:sz w:val="17"/>
                <w:szCs w:val="17"/>
              </w:rPr>
              <w:t>opex</w:t>
            </w:r>
            <w:proofErr w:type="spellEnd"/>
          </w:p>
        </w:tc>
        <w:tc>
          <w:tcPr>
            <w:tcW w:w="25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6CAE2B3C" w14:textId="77777777" w:rsidR="006A70CC" w:rsidRDefault="00000000">
            <w:r>
              <w:rPr>
                <w:color w:val="334155"/>
                <w:sz w:val="17"/>
                <w:szCs w:val="17"/>
              </w:rPr>
              <w:t>HSE / Permitting</w:t>
            </w:r>
          </w:p>
        </w:tc>
      </w:tr>
      <w:tr w:rsidR="006A70CC" w14:paraId="3D613450" w14:textId="77777777">
        <w:tblPrEx>
          <w:tblCellMar>
            <w:top w:w="0" w:type="dxa"/>
            <w:bottom w:w="0" w:type="dxa"/>
          </w:tblCellMar>
        </w:tblPrEx>
        <w:tc>
          <w:tcPr>
            <w:tcW w:w="22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30FE4BA2" w14:textId="77777777" w:rsidR="006A70CC" w:rsidRDefault="00000000">
            <w:r>
              <w:rPr>
                <w:color w:val="334155"/>
                <w:sz w:val="17"/>
                <w:szCs w:val="17"/>
              </w:rPr>
              <w:t>09 Financing &amp; balance sheet</w:t>
            </w:r>
          </w:p>
        </w:tc>
        <w:tc>
          <w:tcPr>
            <w:tcW w:w="4938"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26A85727" w14:textId="77777777" w:rsidR="006A70CC" w:rsidRDefault="00000000">
            <w:r>
              <w:rPr>
                <w:color w:val="334155"/>
                <w:sz w:val="17"/>
                <w:szCs w:val="17"/>
              </w:rPr>
              <w:t>Term sheet, gearing, covenants, liquidity</w:t>
            </w:r>
          </w:p>
        </w:tc>
        <w:tc>
          <w:tcPr>
            <w:tcW w:w="25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232429B8" w14:textId="77777777" w:rsidR="006A70CC" w:rsidRDefault="00000000">
            <w:r>
              <w:rPr>
                <w:color w:val="334155"/>
                <w:sz w:val="17"/>
                <w:szCs w:val="17"/>
              </w:rPr>
              <w:t>Treasury / CFO</w:t>
            </w:r>
          </w:p>
        </w:tc>
      </w:tr>
      <w:tr w:rsidR="006A70CC" w14:paraId="33BB9EEC" w14:textId="77777777">
        <w:tblPrEx>
          <w:tblCellMar>
            <w:top w:w="0" w:type="dxa"/>
            <w:bottom w:w="0" w:type="dxa"/>
          </w:tblCellMar>
        </w:tblPrEx>
        <w:tc>
          <w:tcPr>
            <w:tcW w:w="22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5520AAF1" w14:textId="77777777" w:rsidR="006A70CC" w:rsidRDefault="00000000">
            <w:r>
              <w:rPr>
                <w:color w:val="334155"/>
                <w:sz w:val="17"/>
                <w:szCs w:val="17"/>
              </w:rPr>
              <w:t>10 Execution organisation</w:t>
            </w:r>
          </w:p>
        </w:tc>
        <w:tc>
          <w:tcPr>
            <w:tcW w:w="4938"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614ABD22" w14:textId="77777777" w:rsidR="006A70CC" w:rsidRDefault="00000000">
            <w:r>
              <w:rPr>
                <w:color w:val="334155"/>
                <w:sz w:val="17"/>
                <w:szCs w:val="17"/>
              </w:rPr>
              <w:t>Owner team, RACI, post-FID KPIs</w:t>
            </w:r>
          </w:p>
        </w:tc>
        <w:tc>
          <w:tcPr>
            <w:tcW w:w="25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0B46BC8A" w14:textId="77777777" w:rsidR="006A70CC" w:rsidRDefault="00000000">
            <w:r>
              <w:rPr>
                <w:color w:val="334155"/>
                <w:sz w:val="17"/>
                <w:szCs w:val="17"/>
              </w:rPr>
              <w:t>Project Director</w:t>
            </w:r>
          </w:p>
        </w:tc>
      </w:tr>
      <w:tr w:rsidR="006A70CC" w14:paraId="6DC1EABB" w14:textId="77777777">
        <w:tblPrEx>
          <w:tblCellMar>
            <w:top w:w="0" w:type="dxa"/>
            <w:bottom w:w="0" w:type="dxa"/>
          </w:tblCellMar>
        </w:tblPrEx>
        <w:tc>
          <w:tcPr>
            <w:tcW w:w="22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3FCCA4B1" w14:textId="77777777" w:rsidR="006A70CC" w:rsidRDefault="00000000">
            <w:r>
              <w:rPr>
                <w:color w:val="334155"/>
                <w:sz w:val="17"/>
                <w:szCs w:val="17"/>
              </w:rPr>
              <w:t xml:space="preserve">11 Independent </w:t>
            </w:r>
            <w:proofErr w:type="gramStart"/>
            <w:r>
              <w:rPr>
                <w:color w:val="334155"/>
                <w:sz w:val="17"/>
                <w:szCs w:val="17"/>
              </w:rPr>
              <w:t>assurance</w:t>
            </w:r>
            <w:proofErr w:type="gramEnd"/>
          </w:p>
        </w:tc>
        <w:tc>
          <w:tcPr>
            <w:tcW w:w="4938"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28D6F5CA" w14:textId="77777777" w:rsidR="006A70CC" w:rsidRDefault="00000000">
            <w:r>
              <w:rPr>
                <w:color w:val="334155"/>
                <w:sz w:val="17"/>
                <w:szCs w:val="17"/>
              </w:rPr>
              <w:t>Cold-eye review, closed actions</w:t>
            </w:r>
          </w:p>
        </w:tc>
        <w:tc>
          <w:tcPr>
            <w:tcW w:w="25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59A017E7" w14:textId="77777777" w:rsidR="006A70CC" w:rsidRDefault="00000000">
            <w:r>
              <w:rPr>
                <w:color w:val="334155"/>
                <w:sz w:val="17"/>
                <w:szCs w:val="17"/>
              </w:rPr>
              <w:t>PMO / IA</w:t>
            </w:r>
          </w:p>
        </w:tc>
      </w:tr>
      <w:tr w:rsidR="006A70CC" w14:paraId="69AAA328" w14:textId="77777777">
        <w:tblPrEx>
          <w:tblCellMar>
            <w:top w:w="0" w:type="dxa"/>
            <w:bottom w:w="0" w:type="dxa"/>
          </w:tblCellMar>
        </w:tblPrEx>
        <w:tc>
          <w:tcPr>
            <w:tcW w:w="22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435704C4" w14:textId="77777777" w:rsidR="006A70CC" w:rsidRDefault="00000000">
            <w:r>
              <w:rPr>
                <w:color w:val="334155"/>
                <w:sz w:val="17"/>
                <w:szCs w:val="17"/>
              </w:rPr>
              <w:t>12 Annexes</w:t>
            </w:r>
          </w:p>
        </w:tc>
        <w:tc>
          <w:tcPr>
            <w:tcW w:w="4938"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7C5E9E34" w14:textId="77777777" w:rsidR="006A70CC" w:rsidRDefault="00000000">
            <w:r>
              <w:rPr>
                <w:color w:val="334155"/>
                <w:sz w:val="17"/>
                <w:szCs w:val="17"/>
              </w:rPr>
              <w:t>Model, letters, prior-gate minutes</w:t>
            </w:r>
          </w:p>
        </w:tc>
        <w:tc>
          <w:tcPr>
            <w:tcW w:w="25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54E82A46" w14:textId="77777777" w:rsidR="006A70CC" w:rsidRDefault="00000000">
            <w:r>
              <w:rPr>
                <w:color w:val="334155"/>
                <w:sz w:val="17"/>
                <w:szCs w:val="17"/>
              </w:rPr>
              <w:t>PMO</w:t>
            </w:r>
          </w:p>
        </w:tc>
      </w:tr>
    </w:tbl>
    <w:p w14:paraId="52422CAB" w14:textId="77777777" w:rsidR="006A70CC" w:rsidRDefault="00000000">
      <w:pPr>
        <w:spacing w:before="40" w:after="200" w:line="276" w:lineRule="auto"/>
      </w:pPr>
      <w:r>
        <w:rPr>
          <w:i/>
          <w:iCs/>
          <w:color w:val="64748B"/>
          <w:sz w:val="16"/>
          <w:szCs w:val="16"/>
        </w:rPr>
        <w:t>Table 4 — Recommended FID package structure.</w:t>
      </w:r>
    </w:p>
    <w:p w14:paraId="4FB86E9E" w14:textId="77777777" w:rsidR="006A70CC" w:rsidRDefault="00000000">
      <w:pPr>
        <w:pStyle w:val="Heading2"/>
      </w:pPr>
      <w:r>
        <w:t>9.2 The decision note (three pages maximum)</w:t>
      </w:r>
    </w:p>
    <w:p w14:paraId="71787CB6" w14:textId="77777777" w:rsidR="006A70CC" w:rsidRDefault="00000000">
      <w:pPr>
        <w:spacing w:after="120" w:line="276" w:lineRule="auto"/>
      </w:pPr>
      <w:r>
        <w:rPr>
          <w:color w:val="334155"/>
        </w:rPr>
        <w:t xml:space="preserve">Page 1: context, recommendation in one sentence, capital ticket requested, base-case and downside NPV/IRR/payback. Page 2: five value-killing risks and mitigations. Page 3: conditions, commitment timetable, explicit ask of the committee. Everything else goes to annexes. A committee that </w:t>
      </w:r>
      <w:proofErr w:type="gramStart"/>
      <w:r>
        <w:rPr>
          <w:color w:val="334155"/>
        </w:rPr>
        <w:t>has to</w:t>
      </w:r>
      <w:proofErr w:type="gramEnd"/>
      <w:r>
        <w:rPr>
          <w:color w:val="334155"/>
        </w:rPr>
        <w:t xml:space="preserve"> hunt for the recommendation across 80 slides has already lost.</w:t>
      </w:r>
    </w:p>
    <w:p w14:paraId="36553FBD" w14:textId="77777777" w:rsidR="006A70CC" w:rsidRDefault="00000000">
      <w:pPr>
        <w:pStyle w:val="Heading2"/>
      </w:pPr>
      <w:r>
        <w:t>9.3 What Finance must certify in tab 04</w:t>
      </w:r>
    </w:p>
    <w:p w14:paraId="7F7B059B" w14:textId="77777777" w:rsidR="006A70CC" w:rsidRDefault="00000000">
      <w:pPr>
        <w:pStyle w:val="ListParagraph"/>
        <w:numPr>
          <w:ilvl w:val="0"/>
          <w:numId w:val="10"/>
        </w:numPr>
        <w:spacing w:after="60" w:line="260" w:lineRule="auto"/>
      </w:pPr>
      <w:r>
        <w:rPr>
          <w:color w:val="334155"/>
        </w:rPr>
        <w:t>Operating cash flows, not net accounting profit (LSE).</w:t>
      </w:r>
    </w:p>
    <w:p w14:paraId="2D93043F" w14:textId="77777777" w:rsidR="006A70CC" w:rsidRDefault="00000000">
      <w:pPr>
        <w:pStyle w:val="ListParagraph"/>
        <w:numPr>
          <w:ilvl w:val="0"/>
          <w:numId w:val="10"/>
        </w:numPr>
        <w:spacing w:after="60" w:line="260" w:lineRule="auto"/>
      </w:pPr>
      <w:r>
        <w:rPr>
          <w:color w:val="334155"/>
        </w:rPr>
        <w:t>Complete I0: capex, owner's costs, working capital, tax credits, grants, residual value.</w:t>
      </w:r>
    </w:p>
    <w:p w14:paraId="7C169ECE" w14:textId="77777777" w:rsidR="006A70CC" w:rsidRDefault="00000000">
      <w:pPr>
        <w:pStyle w:val="ListParagraph"/>
        <w:numPr>
          <w:ilvl w:val="0"/>
          <w:numId w:val="10"/>
        </w:numPr>
        <w:spacing w:after="60" w:line="260" w:lineRule="auto"/>
      </w:pPr>
      <w:r>
        <w:rPr>
          <w:color w:val="334155"/>
        </w:rPr>
        <w:lastRenderedPageBreak/>
        <w:t>Explicit rate r: group WACC, divisional hurdle, or risk-adjusted project rate — and why.</w:t>
      </w:r>
    </w:p>
    <w:p w14:paraId="0AD72E57" w14:textId="77777777" w:rsidR="006A70CC" w:rsidRDefault="00000000">
      <w:pPr>
        <w:pStyle w:val="ListParagraph"/>
        <w:numPr>
          <w:ilvl w:val="0"/>
          <w:numId w:val="10"/>
        </w:numPr>
        <w:spacing w:after="60" w:line="260" w:lineRule="auto"/>
      </w:pPr>
      <w:r>
        <w:rPr>
          <w:color w:val="334155"/>
        </w:rPr>
        <w:t>Tax, inflation, FX: written assumptions (this is where LSE teaching simplifications are lifted).</w:t>
      </w:r>
    </w:p>
    <w:p w14:paraId="7C19697D" w14:textId="77777777" w:rsidR="006A70CC" w:rsidRDefault="00000000">
      <w:pPr>
        <w:pStyle w:val="ListParagraph"/>
        <w:numPr>
          <w:ilvl w:val="0"/>
          <w:numId w:val="10"/>
        </w:numPr>
        <w:spacing w:after="60" w:line="260" w:lineRule="auto"/>
      </w:pPr>
      <w:r>
        <w:rPr>
          <w:color w:val="334155"/>
        </w:rPr>
        <w:t>Consistency with Module 7 ratios: the project must not break liquidity or covenants.</w:t>
      </w:r>
    </w:p>
    <w:p w14:paraId="75F0CEDA" w14:textId="77777777" w:rsidR="006A70CC" w:rsidRDefault="00000000">
      <w:pPr>
        <w:pStyle w:val="ListParagraph"/>
        <w:numPr>
          <w:ilvl w:val="0"/>
          <w:numId w:val="10"/>
        </w:numPr>
        <w:spacing w:after="60" w:line="260" w:lineRule="auto"/>
      </w:pPr>
      <w:r>
        <w:rPr>
          <w:color w:val="334155"/>
        </w:rPr>
        <w:t>Model audit trail (version, cross-checks, independent review).</w:t>
      </w:r>
    </w:p>
    <w:p w14:paraId="323C775C" w14:textId="77777777" w:rsidR="006A70CC" w:rsidRDefault="00000000">
      <w:pPr>
        <w:pStyle w:val="Heading1"/>
        <w:pBdr>
          <w:bottom w:val="single" w:sz="12" w:space="4" w:color="1B365D"/>
        </w:pBdr>
      </w:pPr>
      <w:r>
        <w:t>10. Investment appraisal — how the numbers must be built</w:t>
      </w:r>
    </w:p>
    <w:p w14:paraId="54BBC921" w14:textId="77777777" w:rsidR="006A70CC" w:rsidRDefault="00000000">
      <w:pPr>
        <w:spacing w:after="120" w:line="276" w:lineRule="auto"/>
      </w:pPr>
      <w:r>
        <w:rPr>
          <w:color w:val="334155"/>
        </w:rPr>
        <w:t>This section installs the calculation discipline LSE teaches, then makes it usable in a live committee.</w:t>
      </w:r>
    </w:p>
    <w:p w14:paraId="431FE67B" w14:textId="77777777" w:rsidR="006A70CC" w:rsidRDefault="00000000">
      <w:pPr>
        <w:pStyle w:val="Heading2"/>
      </w:pPr>
      <w:r>
        <w:t>10.1 Criterion hierarchy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4638"/>
        <w:gridCol w:w="3000"/>
      </w:tblGrid>
      <w:tr w:rsidR="006A70CC" w14:paraId="1A66397E" w14:textId="77777777">
        <w:tblPrEx>
          <w:tblCellMar>
            <w:top w:w="0" w:type="dxa"/>
            <w:bottom w:w="0" w:type="dxa"/>
          </w:tblCellMar>
        </w:tblPrEx>
        <w:trPr>
          <w:tblHeader/>
        </w:trPr>
        <w:tc>
          <w:tcPr>
            <w:tcW w:w="2000" w:type="dxa"/>
            <w:tcBorders>
              <w:top w:val="single" w:sz="4" w:space="0" w:color="CBD5E1"/>
              <w:left w:val="single" w:sz="4" w:space="0" w:color="CBD5E1"/>
              <w:bottom w:val="single" w:sz="4" w:space="0" w:color="CBD5E1"/>
              <w:right w:val="single" w:sz="4" w:space="0" w:color="CBD5E1"/>
            </w:tcBorders>
            <w:shd w:val="clear" w:color="auto" w:fill="1B365D"/>
            <w:tcMar>
              <w:top w:w="60" w:type="dxa"/>
              <w:left w:w="80" w:type="dxa"/>
              <w:bottom w:w="60" w:type="dxa"/>
              <w:right w:w="80" w:type="dxa"/>
            </w:tcMar>
            <w:vAlign w:val="center"/>
          </w:tcPr>
          <w:p w14:paraId="39D9E150" w14:textId="77777777" w:rsidR="006A70CC" w:rsidRDefault="00000000">
            <w:r>
              <w:rPr>
                <w:b/>
                <w:bCs/>
                <w:color w:val="FFFFFF"/>
                <w:sz w:val="17"/>
                <w:szCs w:val="17"/>
              </w:rPr>
              <w:t>Criterion</w:t>
            </w:r>
          </w:p>
        </w:tc>
        <w:tc>
          <w:tcPr>
            <w:tcW w:w="4638" w:type="dxa"/>
            <w:tcBorders>
              <w:top w:val="single" w:sz="4" w:space="0" w:color="CBD5E1"/>
              <w:left w:val="single" w:sz="4" w:space="0" w:color="CBD5E1"/>
              <w:bottom w:val="single" w:sz="4" w:space="0" w:color="CBD5E1"/>
              <w:right w:val="single" w:sz="4" w:space="0" w:color="CBD5E1"/>
            </w:tcBorders>
            <w:shd w:val="clear" w:color="auto" w:fill="1B365D"/>
            <w:tcMar>
              <w:top w:w="60" w:type="dxa"/>
              <w:left w:w="80" w:type="dxa"/>
              <w:bottom w:w="60" w:type="dxa"/>
              <w:right w:w="80" w:type="dxa"/>
            </w:tcMar>
            <w:vAlign w:val="center"/>
          </w:tcPr>
          <w:p w14:paraId="76A591BA" w14:textId="77777777" w:rsidR="006A70CC" w:rsidRDefault="00000000">
            <w:r>
              <w:rPr>
                <w:b/>
                <w:bCs/>
                <w:color w:val="FFFFFF"/>
                <w:sz w:val="17"/>
                <w:szCs w:val="17"/>
              </w:rPr>
              <w:t>Question it answers</w:t>
            </w:r>
          </w:p>
        </w:tc>
        <w:tc>
          <w:tcPr>
            <w:tcW w:w="3000" w:type="dxa"/>
            <w:tcBorders>
              <w:top w:val="single" w:sz="4" w:space="0" w:color="CBD5E1"/>
              <w:left w:val="single" w:sz="4" w:space="0" w:color="CBD5E1"/>
              <w:bottom w:val="single" w:sz="4" w:space="0" w:color="CBD5E1"/>
              <w:right w:val="single" w:sz="4" w:space="0" w:color="CBD5E1"/>
            </w:tcBorders>
            <w:shd w:val="clear" w:color="auto" w:fill="1B365D"/>
            <w:tcMar>
              <w:top w:w="60" w:type="dxa"/>
              <w:left w:w="80" w:type="dxa"/>
              <w:bottom w:w="60" w:type="dxa"/>
              <w:right w:w="80" w:type="dxa"/>
            </w:tcMar>
            <w:vAlign w:val="center"/>
          </w:tcPr>
          <w:p w14:paraId="48D47A57" w14:textId="77777777" w:rsidR="006A70CC" w:rsidRDefault="00000000">
            <w:r>
              <w:rPr>
                <w:b/>
                <w:bCs/>
                <w:color w:val="FFFFFF"/>
                <w:sz w:val="17"/>
                <w:szCs w:val="17"/>
              </w:rPr>
              <w:t>Status at FID</w:t>
            </w:r>
          </w:p>
        </w:tc>
      </w:tr>
      <w:tr w:rsidR="006A70CC" w14:paraId="4A743CB2" w14:textId="77777777">
        <w:tblPrEx>
          <w:tblCellMar>
            <w:top w:w="0" w:type="dxa"/>
            <w:bottom w:w="0" w:type="dxa"/>
          </w:tblCellMar>
        </w:tblPrEx>
        <w:tc>
          <w:tcPr>
            <w:tcW w:w="20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5EB8611A" w14:textId="77777777" w:rsidR="006A70CC" w:rsidRDefault="00000000">
            <w:r>
              <w:rPr>
                <w:color w:val="334155"/>
                <w:sz w:val="17"/>
                <w:szCs w:val="17"/>
              </w:rPr>
              <w:t>NPV @ r</w:t>
            </w:r>
          </w:p>
        </w:tc>
        <w:tc>
          <w:tcPr>
            <w:tcW w:w="4638"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6272037A" w14:textId="77777777" w:rsidR="006A70CC" w:rsidRDefault="00000000">
            <w:r>
              <w:rPr>
                <w:color w:val="334155"/>
                <w:sz w:val="17"/>
                <w:szCs w:val="17"/>
              </w:rPr>
              <w:t>Does the project create wealth?</w:t>
            </w:r>
          </w:p>
        </w:tc>
        <w:tc>
          <w:tcPr>
            <w:tcW w:w="30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4AFC41C7" w14:textId="77777777" w:rsidR="006A70CC" w:rsidRDefault="00000000">
            <w:r>
              <w:rPr>
                <w:color w:val="334155"/>
                <w:sz w:val="17"/>
                <w:szCs w:val="17"/>
              </w:rPr>
              <w:t>Primary decision rule</w:t>
            </w:r>
          </w:p>
        </w:tc>
      </w:tr>
      <w:tr w:rsidR="006A70CC" w14:paraId="4BA50A34" w14:textId="77777777">
        <w:tblPrEx>
          <w:tblCellMar>
            <w:top w:w="0" w:type="dxa"/>
            <w:bottom w:w="0" w:type="dxa"/>
          </w:tblCellMar>
        </w:tblPrEx>
        <w:tc>
          <w:tcPr>
            <w:tcW w:w="20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6849447D" w14:textId="77777777" w:rsidR="006A70CC" w:rsidRDefault="00000000">
            <w:r>
              <w:rPr>
                <w:color w:val="334155"/>
                <w:sz w:val="17"/>
                <w:szCs w:val="17"/>
              </w:rPr>
              <w:t>IRR vs hurdle</w:t>
            </w:r>
          </w:p>
        </w:tc>
        <w:tc>
          <w:tcPr>
            <w:tcW w:w="4638"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5DD568B8" w14:textId="77777777" w:rsidR="006A70CC" w:rsidRDefault="00000000">
            <w:r>
              <w:rPr>
                <w:color w:val="334155"/>
                <w:sz w:val="17"/>
                <w:szCs w:val="17"/>
              </w:rPr>
              <w:t>Does return beat opportunity cost?</w:t>
            </w:r>
          </w:p>
        </w:tc>
        <w:tc>
          <w:tcPr>
            <w:tcW w:w="30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5F1F379A" w14:textId="77777777" w:rsidR="006A70CC" w:rsidRDefault="00000000">
            <w:r>
              <w:rPr>
                <w:color w:val="334155"/>
                <w:sz w:val="17"/>
                <w:szCs w:val="17"/>
              </w:rPr>
              <w:t>Secondary decision rule</w:t>
            </w:r>
          </w:p>
        </w:tc>
      </w:tr>
      <w:tr w:rsidR="006A70CC" w14:paraId="1D76705F" w14:textId="77777777">
        <w:tblPrEx>
          <w:tblCellMar>
            <w:top w:w="0" w:type="dxa"/>
            <w:bottom w:w="0" w:type="dxa"/>
          </w:tblCellMar>
        </w:tblPrEx>
        <w:tc>
          <w:tcPr>
            <w:tcW w:w="20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15853F04" w14:textId="77777777" w:rsidR="006A70CC" w:rsidRDefault="00000000">
            <w:r>
              <w:rPr>
                <w:color w:val="334155"/>
                <w:sz w:val="17"/>
                <w:szCs w:val="17"/>
              </w:rPr>
              <w:t>Payback</w:t>
            </w:r>
          </w:p>
        </w:tc>
        <w:tc>
          <w:tcPr>
            <w:tcW w:w="4638"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33CF32ED" w14:textId="77777777" w:rsidR="006A70CC" w:rsidRDefault="00000000">
            <w:r>
              <w:rPr>
                <w:color w:val="334155"/>
                <w:sz w:val="17"/>
                <w:szCs w:val="17"/>
              </w:rPr>
              <w:t>How fast is cash recovered?</w:t>
            </w:r>
          </w:p>
        </w:tc>
        <w:tc>
          <w:tcPr>
            <w:tcW w:w="30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2EE189F6" w14:textId="77777777" w:rsidR="006A70CC" w:rsidRDefault="00000000">
            <w:r>
              <w:rPr>
                <w:color w:val="334155"/>
                <w:sz w:val="17"/>
                <w:szCs w:val="17"/>
              </w:rPr>
              <w:t>Liquidity control</w:t>
            </w:r>
          </w:p>
        </w:tc>
      </w:tr>
      <w:tr w:rsidR="006A70CC" w14:paraId="5BE41CAA" w14:textId="77777777">
        <w:tblPrEx>
          <w:tblCellMar>
            <w:top w:w="0" w:type="dxa"/>
            <w:bottom w:w="0" w:type="dxa"/>
          </w:tblCellMar>
        </w:tblPrEx>
        <w:tc>
          <w:tcPr>
            <w:tcW w:w="20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63C1A35B" w14:textId="77777777" w:rsidR="006A70CC" w:rsidRDefault="00000000">
            <w:r>
              <w:rPr>
                <w:color w:val="334155"/>
                <w:sz w:val="17"/>
                <w:szCs w:val="17"/>
              </w:rPr>
              <w:t>ARR</w:t>
            </w:r>
          </w:p>
        </w:tc>
        <w:tc>
          <w:tcPr>
            <w:tcW w:w="4638"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16A4D8C4" w14:textId="77777777" w:rsidR="006A70CC" w:rsidRDefault="00000000">
            <w:r>
              <w:rPr>
                <w:color w:val="334155"/>
                <w:sz w:val="17"/>
                <w:szCs w:val="17"/>
              </w:rPr>
              <w:t>What average accounting return?</w:t>
            </w:r>
          </w:p>
        </w:tc>
        <w:tc>
          <w:tcPr>
            <w:tcW w:w="30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4D1C9099" w14:textId="77777777" w:rsidR="006A70CC" w:rsidRDefault="00000000">
            <w:r>
              <w:rPr>
                <w:color w:val="334155"/>
                <w:sz w:val="17"/>
                <w:szCs w:val="17"/>
              </w:rPr>
              <w:t>Secondary / reporting</w:t>
            </w:r>
          </w:p>
        </w:tc>
      </w:tr>
      <w:tr w:rsidR="006A70CC" w14:paraId="7E72C5B2" w14:textId="77777777">
        <w:tblPrEx>
          <w:tblCellMar>
            <w:top w:w="0" w:type="dxa"/>
            <w:bottom w:w="0" w:type="dxa"/>
          </w:tblCellMar>
        </w:tblPrEx>
        <w:tc>
          <w:tcPr>
            <w:tcW w:w="20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592C92DA" w14:textId="77777777" w:rsidR="006A70CC" w:rsidRDefault="00000000">
            <w:r>
              <w:rPr>
                <w:color w:val="334155"/>
                <w:sz w:val="17"/>
                <w:szCs w:val="17"/>
              </w:rPr>
              <w:t>Sensitivities</w:t>
            </w:r>
          </w:p>
        </w:tc>
        <w:tc>
          <w:tcPr>
            <w:tcW w:w="4638"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1E0AA105" w14:textId="77777777" w:rsidR="006A70CC" w:rsidRDefault="00000000">
            <w:r>
              <w:rPr>
                <w:color w:val="334155"/>
                <w:sz w:val="17"/>
                <w:szCs w:val="17"/>
              </w:rPr>
              <w:t>Does NPV survive an imperfect world?</w:t>
            </w:r>
          </w:p>
        </w:tc>
        <w:tc>
          <w:tcPr>
            <w:tcW w:w="30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18CFFEE8" w14:textId="77777777" w:rsidR="006A70CC" w:rsidRDefault="00000000">
            <w:r>
              <w:rPr>
                <w:color w:val="334155"/>
                <w:sz w:val="17"/>
                <w:szCs w:val="17"/>
              </w:rPr>
              <w:t>Robustness condition</w:t>
            </w:r>
          </w:p>
        </w:tc>
      </w:tr>
      <w:tr w:rsidR="006A70CC" w14:paraId="0E337533" w14:textId="77777777">
        <w:tblPrEx>
          <w:tblCellMar>
            <w:top w:w="0" w:type="dxa"/>
            <w:bottom w:w="0" w:type="dxa"/>
          </w:tblCellMar>
        </w:tblPrEx>
        <w:tc>
          <w:tcPr>
            <w:tcW w:w="20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14173F71" w14:textId="77777777" w:rsidR="006A70CC" w:rsidRDefault="00000000">
            <w:r>
              <w:rPr>
                <w:color w:val="334155"/>
                <w:sz w:val="17"/>
                <w:szCs w:val="17"/>
              </w:rPr>
              <w:t>Balance-sheet ratios</w:t>
            </w:r>
          </w:p>
        </w:tc>
        <w:tc>
          <w:tcPr>
            <w:tcW w:w="4638"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5AE99C9A" w14:textId="77777777" w:rsidR="006A70CC" w:rsidRDefault="00000000">
            <w:r>
              <w:rPr>
                <w:color w:val="334155"/>
                <w:sz w:val="17"/>
                <w:szCs w:val="17"/>
              </w:rPr>
              <w:t>Can the group hold after commitment?</w:t>
            </w:r>
          </w:p>
        </w:tc>
        <w:tc>
          <w:tcPr>
            <w:tcW w:w="30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4F29B5E2" w14:textId="77777777" w:rsidR="006A70CC" w:rsidRDefault="00000000">
            <w:r>
              <w:rPr>
                <w:color w:val="334155"/>
                <w:sz w:val="17"/>
                <w:szCs w:val="17"/>
              </w:rPr>
              <w:t>Feasibility constraint</w:t>
            </w:r>
          </w:p>
        </w:tc>
      </w:tr>
    </w:tbl>
    <w:p w14:paraId="6723CDB0" w14:textId="77777777" w:rsidR="006A70CC" w:rsidRDefault="00000000">
      <w:pPr>
        <w:pStyle w:val="Heading2"/>
      </w:pPr>
      <w:r>
        <w:t>10.2 Working formulae</w:t>
      </w:r>
    </w:p>
    <w:p w14:paraId="6396C090" w14:textId="77777777" w:rsidR="006A70CC" w:rsidRDefault="00000000">
      <w:pPr>
        <w:spacing w:after="120" w:line="276" w:lineRule="auto"/>
      </w:pPr>
      <w:r>
        <w:rPr>
          <w:color w:val="334155"/>
        </w:rPr>
        <w:t xml:space="preserve">NPV: NPV = </w:t>
      </w:r>
      <w:proofErr w:type="spellStart"/>
      <w:r>
        <w:rPr>
          <w:color w:val="334155"/>
        </w:rPr>
        <w:t>Σn</w:t>
      </w:r>
      <w:proofErr w:type="spellEnd"/>
      <w:r>
        <w:rPr>
          <w:color w:val="334155"/>
        </w:rPr>
        <w:t xml:space="preserve"> [ </w:t>
      </w:r>
      <w:proofErr w:type="spellStart"/>
      <w:r>
        <w:rPr>
          <w:color w:val="334155"/>
        </w:rPr>
        <w:t>CFn</w:t>
      </w:r>
      <w:proofErr w:type="spellEnd"/>
      <w:r>
        <w:rPr>
          <w:color w:val="334155"/>
        </w:rPr>
        <w:t xml:space="preserve"> / (1+</w:t>
      </w:r>
      <w:proofErr w:type="gramStart"/>
      <w:r>
        <w:rPr>
          <w:color w:val="334155"/>
        </w:rPr>
        <w:t>r)^n ]</w:t>
      </w:r>
      <w:proofErr w:type="gramEnd"/>
      <w:r>
        <w:rPr>
          <w:color w:val="334155"/>
        </w:rPr>
        <w:t xml:space="preserve">. Equivalently, use discount factors from a table (LSE method): PV = </w:t>
      </w:r>
      <w:proofErr w:type="spellStart"/>
      <w:r>
        <w:rPr>
          <w:color w:val="334155"/>
        </w:rPr>
        <w:t>CFn</w:t>
      </w:r>
      <w:proofErr w:type="spellEnd"/>
      <w:r>
        <w:rPr>
          <w:color w:val="334155"/>
        </w:rPr>
        <w:t xml:space="preserve"> × </w:t>
      </w:r>
      <w:proofErr w:type="gramStart"/>
      <w:r>
        <w:rPr>
          <w:color w:val="334155"/>
        </w:rPr>
        <w:t>factor(</w:t>
      </w:r>
      <w:proofErr w:type="gramEnd"/>
      <w:r>
        <w:rPr>
          <w:color w:val="334155"/>
        </w:rPr>
        <w:t>r, n).</w:t>
      </w:r>
    </w:p>
    <w:p w14:paraId="2966362C" w14:textId="77777777" w:rsidR="006A70CC" w:rsidRDefault="00000000">
      <w:pPr>
        <w:spacing w:after="120" w:line="276" w:lineRule="auto"/>
      </w:pPr>
      <w:r>
        <w:rPr>
          <w:color w:val="334155"/>
        </w:rPr>
        <w:t>ARR: (average annual operating profit / average investment) × 100, with average investment = (I0 + disposal value) / 2.</w:t>
      </w:r>
    </w:p>
    <w:p w14:paraId="5138F200" w14:textId="77777777" w:rsidR="006A70CC" w:rsidRDefault="00000000">
      <w:pPr>
        <w:spacing w:after="120" w:line="276" w:lineRule="auto"/>
      </w:pPr>
      <w:r>
        <w:rPr>
          <w:color w:val="334155"/>
        </w:rPr>
        <w:t>Uneven payback: track the cumulative; between two years, fraction = residual / next-year flow, converted to months if needed (LSE example: 2 years and 8 months).</w:t>
      </w:r>
    </w:p>
    <w:p w14:paraId="10A8D6CD" w14:textId="77777777" w:rsidR="006A70CC" w:rsidRDefault="00000000">
      <w:pPr>
        <w:spacing w:after="120" w:line="276" w:lineRule="auto"/>
      </w:pPr>
      <w:r>
        <w:rPr>
          <w:color w:val="334155"/>
        </w:rPr>
        <w:t xml:space="preserve">IRR: rate such that NPV = 0. In practice: Excel IRR / </w:t>
      </w:r>
      <w:proofErr w:type="gramStart"/>
      <w:r>
        <w:rPr>
          <w:color w:val="334155"/>
        </w:rPr>
        <w:t>XIRR, or</w:t>
      </w:r>
      <w:proofErr w:type="gramEnd"/>
      <w:r>
        <w:rPr>
          <w:color w:val="334155"/>
        </w:rPr>
        <w:t xml:space="preserve"> bracketing by trial (LSE example around 20% then 25%).</w:t>
      </w:r>
    </w:p>
    <w:p w14:paraId="3845200F" w14:textId="77777777" w:rsidR="006A70CC" w:rsidRDefault="00000000">
      <w:pPr>
        <w:pStyle w:val="Heading2"/>
      </w:pPr>
      <w:r>
        <w:t xml:space="preserve">10.3 LSE teaching </w:t>
      </w:r>
      <w:proofErr w:type="gramStart"/>
      <w:r>
        <w:t>mini-case</w:t>
      </w:r>
      <w:proofErr w:type="gramEnd"/>
      <w:r>
        <w:t xml:space="preserve"> (know it by heart)</w:t>
      </w:r>
    </w:p>
    <w:p w14:paraId="4EEBB205" w14:textId="77777777" w:rsidR="006A70CC" w:rsidRDefault="00000000">
      <w:pPr>
        <w:spacing w:after="120" w:line="276" w:lineRule="auto"/>
      </w:pPr>
      <w:r>
        <w:rPr>
          <w:color w:val="334155"/>
        </w:rPr>
        <w:t>Pink Panther Productions — machine £40,000; flows 8 / 15 / 20 / 18 / 8; disposal £7,000 in year 5; 20% opportunity rate. LSE computes a positive NPV of about £3,367. At 25% the NPV turns negative (about −£1,460). IRR is therefore slightly below 25% and above 20%: the project beats the alternative placement. That is exactly the reasoning to hold at FID, with extra zeros.</w:t>
      </w:r>
    </w:p>
    <w:p w14:paraId="43194A19" w14:textId="77777777" w:rsidR="006A70CC" w:rsidRDefault="00000000">
      <w:pPr>
        <w:pStyle w:val="Heading2"/>
      </w:pPr>
      <w:r>
        <w:t>10.4 What a live FID adds to the course example</w:t>
      </w:r>
    </w:p>
    <w:p w14:paraId="3C3C8A95" w14:textId="77777777" w:rsidR="006A70CC" w:rsidRDefault="00000000">
      <w:pPr>
        <w:pStyle w:val="ListParagraph"/>
        <w:numPr>
          <w:ilvl w:val="0"/>
          <w:numId w:val="11"/>
        </w:numPr>
        <w:spacing w:after="60" w:line="260" w:lineRule="auto"/>
      </w:pPr>
      <w:r>
        <w:rPr>
          <w:color w:val="334155"/>
        </w:rPr>
        <w:t>Tax, inflation, FX, working capital, decommissioning.</w:t>
      </w:r>
    </w:p>
    <w:p w14:paraId="799D4660" w14:textId="77777777" w:rsidR="006A70CC" w:rsidRDefault="00000000">
      <w:pPr>
        <w:pStyle w:val="ListParagraph"/>
        <w:numPr>
          <w:ilvl w:val="0"/>
          <w:numId w:val="11"/>
        </w:numPr>
        <w:spacing w:after="60" w:line="260" w:lineRule="auto"/>
      </w:pPr>
      <w:r>
        <w:rPr>
          <w:color w:val="334155"/>
        </w:rPr>
        <w:t>Phased capex (not a single I0 at n = 0).</w:t>
      </w:r>
    </w:p>
    <w:p w14:paraId="21A1BF52" w14:textId="77777777" w:rsidR="006A70CC" w:rsidRDefault="00000000">
      <w:pPr>
        <w:pStyle w:val="ListParagraph"/>
        <w:numPr>
          <w:ilvl w:val="0"/>
          <w:numId w:val="11"/>
        </w:numPr>
        <w:spacing w:after="60" w:line="260" w:lineRule="auto"/>
      </w:pPr>
      <w:r>
        <w:rPr>
          <w:color w:val="334155"/>
        </w:rPr>
        <w:t>Real options: defer, expand, abandon — sometimes more valuable than a binary Go.</w:t>
      </w:r>
    </w:p>
    <w:p w14:paraId="55357C96" w14:textId="77777777" w:rsidR="006A70CC" w:rsidRDefault="00000000">
      <w:pPr>
        <w:pStyle w:val="ListParagraph"/>
        <w:numPr>
          <w:ilvl w:val="0"/>
          <w:numId w:val="11"/>
        </w:numPr>
        <w:spacing w:after="60" w:line="260" w:lineRule="auto"/>
      </w:pPr>
      <w:r>
        <w:rPr>
          <w:color w:val="334155"/>
        </w:rPr>
        <w:t>Cost of capital: group WACC vs divisional hurdle vs project beta.</w:t>
      </w:r>
    </w:p>
    <w:p w14:paraId="7FF9717C" w14:textId="77777777" w:rsidR="006A70CC" w:rsidRDefault="00000000">
      <w:pPr>
        <w:pStyle w:val="ListParagraph"/>
        <w:numPr>
          <w:ilvl w:val="0"/>
          <w:numId w:val="11"/>
        </w:numPr>
        <w:spacing w:after="60" w:line="260" w:lineRule="auto"/>
      </w:pPr>
      <w:r>
        <w:rPr>
          <w:color w:val="334155"/>
        </w:rPr>
        <w:t>Capital rationing: NPV per unit of scarce capital if the budget is capped.</w:t>
      </w:r>
    </w:p>
    <w:p w14:paraId="1F83B0F0" w14:textId="77777777" w:rsidR="006A70CC" w:rsidRDefault="00000000">
      <w:pPr>
        <w:pStyle w:val="ListParagraph"/>
        <w:numPr>
          <w:ilvl w:val="0"/>
          <w:numId w:val="11"/>
        </w:numPr>
        <w:spacing w:after="60" w:line="260" w:lineRule="auto"/>
      </w:pPr>
      <w:r>
        <w:rPr>
          <w:color w:val="334155"/>
        </w:rPr>
        <w:t>A distribution, not a point: P50 / P80 of capex and NPV.</w:t>
      </w:r>
    </w:p>
    <w:p w14:paraId="1A27A9A7" w14:textId="77777777" w:rsidR="006A70CC" w:rsidRDefault="00000000">
      <w:pPr>
        <w:pStyle w:val="Heading2"/>
      </w:pPr>
      <w:r>
        <w:t>10.5 Ratio link (Module 7) — the project inside the group</w:t>
      </w:r>
    </w:p>
    <w:p w14:paraId="7EA42390" w14:textId="77777777" w:rsidR="006A70CC" w:rsidRDefault="00000000">
      <w:pPr>
        <w:spacing w:after="120" w:line="276" w:lineRule="auto"/>
      </w:pPr>
      <w:r>
        <w:rPr>
          <w:color w:val="334155"/>
        </w:rPr>
        <w:lastRenderedPageBreak/>
        <w:t xml:space="preserve">A positive-NPV project can still be refused if it trips a covenant. Before FID, </w:t>
      </w:r>
      <w:proofErr w:type="gramStart"/>
      <w:r>
        <w:rPr>
          <w:color w:val="334155"/>
        </w:rPr>
        <w:t>Finance</w:t>
      </w:r>
      <w:proofErr w:type="gramEnd"/>
      <w:r>
        <w:rPr>
          <w:color w:val="334155"/>
        </w:rPr>
        <w:t xml:space="preserve"> documents the effect </w:t>
      </w:r>
      <w:proofErr w:type="gramStart"/>
      <w:r>
        <w:rPr>
          <w:color w:val="334155"/>
        </w:rPr>
        <w:t>on:</w:t>
      </w:r>
      <w:proofErr w:type="gramEnd"/>
      <w:r>
        <w:rPr>
          <w:color w:val="334155"/>
        </w:rPr>
        <w:t xml:space="preserve"> net margin, ROA, ROE, current ratio, quick ratio, gearing. LSE: 30% gearing is not 'high risk' in itself — it depends on the sector and cash-flow stability. The committee must still see the leverage path through the construction peak, when cash leaves and the asset is not yet productive.</w:t>
      </w:r>
    </w:p>
    <w:p w14:paraId="79F5387B" w14:textId="77777777" w:rsidR="006A70CC" w:rsidRDefault="00000000">
      <w:pPr>
        <w:pStyle w:val="Heading1"/>
        <w:pBdr>
          <w:bottom w:val="single" w:sz="12" w:space="4" w:color="1B365D"/>
        </w:pBdr>
      </w:pPr>
      <w:r>
        <w:t>11. Risk, sensitivities and scenarios</w:t>
      </w:r>
    </w:p>
    <w:p w14:paraId="4F84B98C" w14:textId="77777777" w:rsidR="006A70CC" w:rsidRDefault="00000000">
      <w:pPr>
        <w:spacing w:after="120" w:line="276" w:lineRule="auto"/>
      </w:pPr>
      <w:r>
        <w:rPr>
          <w:color w:val="334155"/>
        </w:rPr>
        <w:t xml:space="preserve">LSE: “in addition to return on investment, there are also other factors (such as risk)”. </w:t>
      </w:r>
      <w:proofErr w:type="gramStart"/>
      <w:r>
        <w:rPr>
          <w:color w:val="334155"/>
        </w:rPr>
        <w:t>A</w:t>
      </w:r>
      <w:proofErr w:type="gramEnd"/>
      <w:r>
        <w:rPr>
          <w:color w:val="334155"/>
        </w:rPr>
        <w:t xml:space="preserve"> FID package with only a base case is an advocacy file, not a decision file.</w:t>
      </w:r>
    </w:p>
    <w:p w14:paraId="31CF1B3C" w14:textId="77777777" w:rsidR="006A70CC" w:rsidRDefault="00000000">
      <w:pPr>
        <w:pStyle w:val="Heading2"/>
      </w:pPr>
      <w:r>
        <w:t>11.1 Minimum set</w:t>
      </w:r>
    </w:p>
    <w:p w14:paraId="71548B6F" w14:textId="77777777" w:rsidR="006A70CC" w:rsidRDefault="00000000">
      <w:pPr>
        <w:pStyle w:val="ListParagraph"/>
        <w:numPr>
          <w:ilvl w:val="0"/>
          <w:numId w:val="12"/>
        </w:numPr>
        <w:spacing w:after="60" w:line="260" w:lineRule="auto"/>
      </w:pPr>
      <w:r>
        <w:rPr>
          <w:color w:val="334155"/>
        </w:rPr>
        <w:t xml:space="preserve">Tornado: NPV vs ± capex, ± price / volume, ± </w:t>
      </w:r>
      <w:proofErr w:type="spellStart"/>
      <w:r>
        <w:rPr>
          <w:color w:val="334155"/>
        </w:rPr>
        <w:t>opex</w:t>
      </w:r>
      <w:proofErr w:type="spellEnd"/>
      <w:r>
        <w:rPr>
          <w:color w:val="334155"/>
        </w:rPr>
        <w:t>, ± schedule, ± rate.</w:t>
      </w:r>
    </w:p>
    <w:p w14:paraId="53761BD5" w14:textId="77777777" w:rsidR="006A70CC" w:rsidRDefault="00000000">
      <w:pPr>
        <w:pStyle w:val="ListParagraph"/>
        <w:numPr>
          <w:ilvl w:val="0"/>
          <w:numId w:val="12"/>
        </w:numPr>
        <w:spacing w:after="60" w:line="260" w:lineRule="auto"/>
      </w:pPr>
      <w:r>
        <w:rPr>
          <w:color w:val="334155"/>
        </w:rPr>
        <w:t>A credible downside (not a cartoon 'worst case').</w:t>
      </w:r>
    </w:p>
    <w:p w14:paraId="7516939E" w14:textId="77777777" w:rsidR="006A70CC" w:rsidRDefault="00000000">
      <w:pPr>
        <w:pStyle w:val="ListParagraph"/>
        <w:numPr>
          <w:ilvl w:val="0"/>
          <w:numId w:val="12"/>
        </w:numPr>
        <w:spacing w:after="60" w:line="260" w:lineRule="auto"/>
      </w:pPr>
      <w:r>
        <w:rPr>
          <w:color w:val="334155"/>
        </w:rPr>
        <w:t>A rupture scenario (permit loss, contractor default, commodity shock).</w:t>
      </w:r>
    </w:p>
    <w:p w14:paraId="7E29FB0C" w14:textId="77777777" w:rsidR="006A70CC" w:rsidRDefault="00000000">
      <w:pPr>
        <w:pStyle w:val="ListParagraph"/>
        <w:numPr>
          <w:ilvl w:val="0"/>
          <w:numId w:val="12"/>
        </w:numPr>
        <w:spacing w:after="60" w:line="260" w:lineRule="auto"/>
      </w:pPr>
      <w:r>
        <w:rPr>
          <w:color w:val="334155"/>
        </w:rPr>
        <w:t>Switching values: at what capex or price NPV hits zero.</w:t>
      </w:r>
    </w:p>
    <w:p w14:paraId="2B90F5B8" w14:textId="77777777" w:rsidR="006A70CC" w:rsidRDefault="00000000">
      <w:pPr>
        <w:pStyle w:val="ListParagraph"/>
        <w:numPr>
          <w:ilvl w:val="0"/>
          <w:numId w:val="12"/>
        </w:numPr>
        <w:spacing w:after="60" w:line="260" w:lineRule="auto"/>
      </w:pPr>
      <w:r>
        <w:rPr>
          <w:color w:val="334155"/>
        </w:rPr>
        <w:t>Contingency vs management reserve: who holds which pot, who releases it.</w:t>
      </w:r>
    </w:p>
    <w:p w14:paraId="732F5F25" w14:textId="77777777" w:rsidR="006A70CC" w:rsidRDefault="00000000">
      <w:pPr>
        <w:pStyle w:val="Heading2"/>
      </w:pPr>
      <w:r>
        <w:t>11.2 Translating risk into governance</w:t>
      </w:r>
    </w:p>
    <w:p w14:paraId="7B61FD55" w14:textId="77777777" w:rsidR="006A70CC" w:rsidRDefault="00000000">
      <w:pPr>
        <w:spacing w:after="120" w:line="276" w:lineRule="auto"/>
      </w:pPr>
      <w:r>
        <w:rPr>
          <w:color w:val="334155"/>
        </w:rPr>
        <w:t xml:space="preserve">Every 'NPV-killing' risk needs an owner, a leading indicator, a post-FID hold </w:t>
      </w:r>
      <w:proofErr w:type="gramStart"/>
      <w:r>
        <w:rPr>
          <w:color w:val="334155"/>
        </w:rPr>
        <w:t>point</w:t>
      </w:r>
      <w:proofErr w:type="gramEnd"/>
      <w:r>
        <w:rPr>
          <w:color w:val="334155"/>
        </w:rPr>
        <w:t xml:space="preserve"> and, where possible, a contract or policy that carries it. A risk with no owner in the package does not exist for the committee: it will explode in execution.</w:t>
      </w:r>
    </w:p>
    <w:p w14:paraId="79409F7C" w14:textId="77777777" w:rsidR="006A70CC" w:rsidRDefault="00000000">
      <w:pPr>
        <w:pStyle w:val="Heading1"/>
        <w:pBdr>
          <w:bottom w:val="single" w:sz="12" w:space="4" w:color="1B365D"/>
        </w:pBdr>
      </w:pPr>
      <w:r>
        <w:t>12. Cognitive biases and debiasing (LSE Module 8)</w:t>
      </w:r>
    </w:p>
    <w:p w14:paraId="3F3350C2" w14:textId="77777777" w:rsidR="006A70CC" w:rsidRDefault="00000000">
      <w:pPr>
        <w:spacing w:after="120" w:line="276" w:lineRule="auto"/>
      </w:pPr>
      <w:r>
        <w:rPr>
          <w:color w:val="334155"/>
        </w:rPr>
        <w:t>Projects die more often from organised optimism than from a wrong formula. The FID file must make countermeasures visible, not only Excel outputs.</w:t>
      </w:r>
    </w:p>
    <w:p w14:paraId="2EADEDEE" w14:textId="77777777" w:rsidR="006A70CC" w:rsidRDefault="00000000">
      <w:pPr>
        <w:pStyle w:val="Heading2"/>
      </w:pPr>
      <w:r>
        <w:t>12.1 Biases that specifically hit the path to FID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3519"/>
        <w:gridCol w:w="4119"/>
      </w:tblGrid>
      <w:tr w:rsidR="006A70CC" w14:paraId="0EE25CFC" w14:textId="77777777">
        <w:tblPrEx>
          <w:tblCellMar>
            <w:top w:w="0" w:type="dxa"/>
            <w:bottom w:w="0" w:type="dxa"/>
          </w:tblCellMar>
        </w:tblPrEx>
        <w:trPr>
          <w:tblHeader/>
        </w:trPr>
        <w:tc>
          <w:tcPr>
            <w:tcW w:w="2000" w:type="dxa"/>
            <w:tcBorders>
              <w:top w:val="single" w:sz="4" w:space="0" w:color="CBD5E1"/>
              <w:left w:val="single" w:sz="4" w:space="0" w:color="CBD5E1"/>
              <w:bottom w:val="single" w:sz="4" w:space="0" w:color="CBD5E1"/>
              <w:right w:val="single" w:sz="4" w:space="0" w:color="CBD5E1"/>
            </w:tcBorders>
            <w:shd w:val="clear" w:color="auto" w:fill="1B365D"/>
            <w:tcMar>
              <w:top w:w="60" w:type="dxa"/>
              <w:left w:w="80" w:type="dxa"/>
              <w:bottom w:w="60" w:type="dxa"/>
              <w:right w:w="80" w:type="dxa"/>
            </w:tcMar>
            <w:vAlign w:val="center"/>
          </w:tcPr>
          <w:p w14:paraId="618D99ED" w14:textId="77777777" w:rsidR="006A70CC" w:rsidRDefault="00000000">
            <w:r>
              <w:rPr>
                <w:b/>
                <w:bCs/>
                <w:color w:val="FFFFFF"/>
                <w:sz w:val="17"/>
                <w:szCs w:val="17"/>
              </w:rPr>
              <w:t>LSE bias</w:t>
            </w:r>
          </w:p>
        </w:tc>
        <w:tc>
          <w:tcPr>
            <w:tcW w:w="3519" w:type="dxa"/>
            <w:tcBorders>
              <w:top w:val="single" w:sz="4" w:space="0" w:color="CBD5E1"/>
              <w:left w:val="single" w:sz="4" w:space="0" w:color="CBD5E1"/>
              <w:bottom w:val="single" w:sz="4" w:space="0" w:color="CBD5E1"/>
              <w:right w:val="single" w:sz="4" w:space="0" w:color="CBD5E1"/>
            </w:tcBorders>
            <w:shd w:val="clear" w:color="auto" w:fill="1B365D"/>
            <w:tcMar>
              <w:top w:w="60" w:type="dxa"/>
              <w:left w:w="80" w:type="dxa"/>
              <w:bottom w:w="60" w:type="dxa"/>
              <w:right w:w="80" w:type="dxa"/>
            </w:tcMar>
            <w:vAlign w:val="center"/>
          </w:tcPr>
          <w:p w14:paraId="10570A78" w14:textId="77777777" w:rsidR="006A70CC" w:rsidRDefault="00000000">
            <w:r>
              <w:rPr>
                <w:b/>
                <w:bCs/>
                <w:color w:val="FFFFFF"/>
                <w:sz w:val="17"/>
                <w:szCs w:val="17"/>
              </w:rPr>
              <w:t>Project symptom</w:t>
            </w:r>
          </w:p>
        </w:tc>
        <w:tc>
          <w:tcPr>
            <w:tcW w:w="4119" w:type="dxa"/>
            <w:tcBorders>
              <w:top w:val="single" w:sz="4" w:space="0" w:color="CBD5E1"/>
              <w:left w:val="single" w:sz="4" w:space="0" w:color="CBD5E1"/>
              <w:bottom w:val="single" w:sz="4" w:space="0" w:color="CBD5E1"/>
              <w:right w:val="single" w:sz="4" w:space="0" w:color="CBD5E1"/>
            </w:tcBorders>
            <w:shd w:val="clear" w:color="auto" w:fill="1B365D"/>
            <w:tcMar>
              <w:top w:w="60" w:type="dxa"/>
              <w:left w:w="80" w:type="dxa"/>
              <w:bottom w:w="60" w:type="dxa"/>
              <w:right w:w="80" w:type="dxa"/>
            </w:tcMar>
            <w:vAlign w:val="center"/>
          </w:tcPr>
          <w:p w14:paraId="76394A3F" w14:textId="77777777" w:rsidR="006A70CC" w:rsidRDefault="00000000">
            <w:r>
              <w:rPr>
                <w:b/>
                <w:bCs/>
                <w:color w:val="FFFFFF"/>
                <w:sz w:val="17"/>
                <w:szCs w:val="17"/>
              </w:rPr>
              <w:t>Countermeasure in the file</w:t>
            </w:r>
          </w:p>
        </w:tc>
      </w:tr>
      <w:tr w:rsidR="006A70CC" w14:paraId="5B23C262" w14:textId="77777777">
        <w:tblPrEx>
          <w:tblCellMar>
            <w:top w:w="0" w:type="dxa"/>
            <w:bottom w:w="0" w:type="dxa"/>
          </w:tblCellMar>
        </w:tblPrEx>
        <w:tc>
          <w:tcPr>
            <w:tcW w:w="20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1D15DA09" w14:textId="77777777" w:rsidR="006A70CC" w:rsidRDefault="00000000">
            <w:r>
              <w:rPr>
                <w:color w:val="334155"/>
                <w:sz w:val="17"/>
                <w:szCs w:val="17"/>
              </w:rPr>
              <w:t>Planning fallacy</w:t>
            </w:r>
          </w:p>
        </w:tc>
        <w:tc>
          <w:tcPr>
            <w:tcW w:w="3519"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6A5A3E5E" w14:textId="77777777" w:rsidR="006A70CC" w:rsidRDefault="00000000">
            <w:r>
              <w:rPr>
                <w:color w:val="334155"/>
                <w:sz w:val="17"/>
                <w:szCs w:val="17"/>
              </w:rPr>
              <w:t>Base case = best case</w:t>
            </w:r>
          </w:p>
        </w:tc>
        <w:tc>
          <w:tcPr>
            <w:tcW w:w="4119"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231797B5" w14:textId="77777777" w:rsidR="006A70CC" w:rsidRDefault="00000000">
            <w:r>
              <w:rPr>
                <w:color w:val="334155"/>
                <w:sz w:val="17"/>
                <w:szCs w:val="17"/>
              </w:rPr>
              <w:t>Outside view + P80 schedule/cost</w:t>
            </w:r>
          </w:p>
        </w:tc>
      </w:tr>
      <w:tr w:rsidR="006A70CC" w14:paraId="47719820" w14:textId="77777777">
        <w:tblPrEx>
          <w:tblCellMar>
            <w:top w:w="0" w:type="dxa"/>
            <w:bottom w:w="0" w:type="dxa"/>
          </w:tblCellMar>
        </w:tblPrEx>
        <w:tc>
          <w:tcPr>
            <w:tcW w:w="20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05E51C52" w14:textId="77777777" w:rsidR="006A70CC" w:rsidRDefault="00000000">
            <w:r>
              <w:rPr>
                <w:color w:val="334155"/>
                <w:sz w:val="17"/>
                <w:szCs w:val="17"/>
              </w:rPr>
              <w:t>Overconfidence</w:t>
            </w:r>
          </w:p>
        </w:tc>
        <w:tc>
          <w:tcPr>
            <w:tcW w:w="3519"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417C2CC9" w14:textId="77777777" w:rsidR="006A70CC" w:rsidRDefault="00000000">
            <w:r>
              <w:rPr>
                <w:color w:val="334155"/>
                <w:sz w:val="17"/>
                <w:szCs w:val="17"/>
              </w:rPr>
              <w:t>Ranges too tight</w:t>
            </w:r>
          </w:p>
        </w:tc>
        <w:tc>
          <w:tcPr>
            <w:tcW w:w="4119"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53CF014C" w14:textId="77777777" w:rsidR="006A70CC" w:rsidRDefault="00000000">
            <w:r>
              <w:rPr>
                <w:color w:val="334155"/>
                <w:sz w:val="17"/>
                <w:szCs w:val="17"/>
              </w:rPr>
              <w:t>Calibration, estimate classes</w:t>
            </w:r>
          </w:p>
        </w:tc>
      </w:tr>
      <w:tr w:rsidR="006A70CC" w14:paraId="2B9D9739" w14:textId="77777777">
        <w:tblPrEx>
          <w:tblCellMar>
            <w:top w:w="0" w:type="dxa"/>
            <w:bottom w:w="0" w:type="dxa"/>
          </w:tblCellMar>
        </w:tblPrEx>
        <w:tc>
          <w:tcPr>
            <w:tcW w:w="20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6BE5E375" w14:textId="77777777" w:rsidR="006A70CC" w:rsidRDefault="00000000">
            <w:proofErr w:type="gramStart"/>
            <w:r>
              <w:rPr>
                <w:color w:val="334155"/>
                <w:sz w:val="17"/>
                <w:szCs w:val="17"/>
              </w:rPr>
              <w:t>Sunk-cost</w:t>
            </w:r>
            <w:proofErr w:type="gramEnd"/>
          </w:p>
        </w:tc>
        <w:tc>
          <w:tcPr>
            <w:tcW w:w="3519"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6D53E58E" w14:textId="77777777" w:rsidR="006A70CC" w:rsidRDefault="00000000">
            <w:r>
              <w:rPr>
                <w:color w:val="334155"/>
                <w:sz w:val="17"/>
                <w:szCs w:val="17"/>
              </w:rPr>
              <w:t>'We have spent too much to stop'</w:t>
            </w:r>
          </w:p>
        </w:tc>
        <w:tc>
          <w:tcPr>
            <w:tcW w:w="4119"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469A618F" w14:textId="77777777" w:rsidR="006A70CC" w:rsidRDefault="00000000">
            <w:r>
              <w:rPr>
                <w:color w:val="334155"/>
                <w:sz w:val="17"/>
                <w:szCs w:val="17"/>
              </w:rPr>
              <w:t>NPV on remaining cash only</w:t>
            </w:r>
          </w:p>
        </w:tc>
      </w:tr>
      <w:tr w:rsidR="006A70CC" w14:paraId="6929F262" w14:textId="77777777">
        <w:tblPrEx>
          <w:tblCellMar>
            <w:top w:w="0" w:type="dxa"/>
            <w:bottom w:w="0" w:type="dxa"/>
          </w:tblCellMar>
        </w:tblPrEx>
        <w:tc>
          <w:tcPr>
            <w:tcW w:w="20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57BF2B3D" w14:textId="77777777" w:rsidR="006A70CC" w:rsidRDefault="00000000">
            <w:r>
              <w:rPr>
                <w:color w:val="334155"/>
                <w:sz w:val="17"/>
                <w:szCs w:val="17"/>
              </w:rPr>
              <w:t>Confirmation</w:t>
            </w:r>
          </w:p>
        </w:tc>
        <w:tc>
          <w:tcPr>
            <w:tcW w:w="3519"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5BEAB294" w14:textId="77777777" w:rsidR="006A70CC" w:rsidRDefault="00000000">
            <w:r>
              <w:rPr>
                <w:color w:val="334155"/>
                <w:sz w:val="17"/>
                <w:szCs w:val="17"/>
              </w:rPr>
              <w:t>Hunting slides that say yes</w:t>
            </w:r>
          </w:p>
        </w:tc>
        <w:tc>
          <w:tcPr>
            <w:tcW w:w="4119"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55D1B56D" w14:textId="77777777" w:rsidR="006A70CC" w:rsidRDefault="00000000">
            <w:r>
              <w:rPr>
                <w:color w:val="334155"/>
                <w:sz w:val="17"/>
                <w:szCs w:val="17"/>
              </w:rPr>
              <w:t>Consider the opposite + devil's advocate</w:t>
            </w:r>
          </w:p>
        </w:tc>
      </w:tr>
      <w:tr w:rsidR="006A70CC" w14:paraId="4DA489BB" w14:textId="77777777">
        <w:tblPrEx>
          <w:tblCellMar>
            <w:top w:w="0" w:type="dxa"/>
            <w:bottom w:w="0" w:type="dxa"/>
          </w:tblCellMar>
        </w:tblPrEx>
        <w:tc>
          <w:tcPr>
            <w:tcW w:w="20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09448700" w14:textId="77777777" w:rsidR="006A70CC" w:rsidRDefault="00000000">
            <w:r>
              <w:rPr>
                <w:color w:val="334155"/>
                <w:sz w:val="17"/>
                <w:szCs w:val="17"/>
              </w:rPr>
              <w:t>Champion bias</w:t>
            </w:r>
          </w:p>
        </w:tc>
        <w:tc>
          <w:tcPr>
            <w:tcW w:w="3519"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24FBC5F8" w14:textId="77777777" w:rsidR="006A70CC" w:rsidRDefault="00000000">
            <w:r>
              <w:rPr>
                <w:color w:val="334155"/>
                <w:sz w:val="17"/>
                <w:szCs w:val="17"/>
              </w:rPr>
              <w:t>Voting for the sponsor</w:t>
            </w:r>
          </w:p>
        </w:tc>
        <w:tc>
          <w:tcPr>
            <w:tcW w:w="4119"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69E6930F" w14:textId="77777777" w:rsidR="006A70CC" w:rsidRDefault="00000000">
            <w:r>
              <w:rPr>
                <w:color w:val="334155"/>
                <w:sz w:val="17"/>
                <w:szCs w:val="17"/>
              </w:rPr>
              <w:t xml:space="preserve">Multi-criteria grid / </w:t>
            </w:r>
            <w:proofErr w:type="gramStart"/>
            <w:r>
              <w:rPr>
                <w:color w:val="334155"/>
                <w:sz w:val="17"/>
                <w:szCs w:val="17"/>
              </w:rPr>
              <w:t>cold-eye</w:t>
            </w:r>
            <w:proofErr w:type="gramEnd"/>
          </w:p>
        </w:tc>
      </w:tr>
      <w:tr w:rsidR="006A70CC" w14:paraId="14A8D19C" w14:textId="77777777">
        <w:tblPrEx>
          <w:tblCellMar>
            <w:top w:w="0" w:type="dxa"/>
            <w:bottom w:w="0" w:type="dxa"/>
          </w:tblCellMar>
        </w:tblPrEx>
        <w:tc>
          <w:tcPr>
            <w:tcW w:w="20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3C449843" w14:textId="77777777" w:rsidR="006A70CC" w:rsidRDefault="00000000">
            <w:r>
              <w:rPr>
                <w:color w:val="334155"/>
                <w:sz w:val="17"/>
                <w:szCs w:val="17"/>
              </w:rPr>
              <w:t>Loss aversion</w:t>
            </w:r>
          </w:p>
        </w:tc>
        <w:tc>
          <w:tcPr>
            <w:tcW w:w="3519"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2E920733" w14:textId="77777777" w:rsidR="006A70CC" w:rsidRDefault="00000000">
            <w:r>
              <w:rPr>
                <w:color w:val="334155"/>
                <w:sz w:val="17"/>
                <w:szCs w:val="17"/>
              </w:rPr>
              <w:t>Rejecting a good risk</w:t>
            </w:r>
          </w:p>
        </w:tc>
        <w:tc>
          <w:tcPr>
            <w:tcW w:w="4119"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332B0698" w14:textId="77777777" w:rsidR="006A70CC" w:rsidRDefault="00000000">
            <w:r>
              <w:rPr>
                <w:color w:val="334155"/>
                <w:sz w:val="17"/>
                <w:szCs w:val="17"/>
              </w:rPr>
              <w:t>Frame as value creation, not option loss</w:t>
            </w:r>
          </w:p>
        </w:tc>
      </w:tr>
      <w:tr w:rsidR="006A70CC" w14:paraId="1C30FD7E" w14:textId="77777777">
        <w:tblPrEx>
          <w:tblCellMar>
            <w:top w:w="0" w:type="dxa"/>
            <w:bottom w:w="0" w:type="dxa"/>
          </w:tblCellMar>
        </w:tblPrEx>
        <w:tc>
          <w:tcPr>
            <w:tcW w:w="20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2B7DFFBA" w14:textId="77777777" w:rsidR="006A70CC" w:rsidRDefault="00000000">
            <w:r>
              <w:rPr>
                <w:color w:val="334155"/>
                <w:sz w:val="17"/>
                <w:szCs w:val="17"/>
              </w:rPr>
              <w:t>Status quo</w:t>
            </w:r>
          </w:p>
        </w:tc>
        <w:tc>
          <w:tcPr>
            <w:tcW w:w="3519"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1BC842F0" w14:textId="77777777" w:rsidR="006A70CC" w:rsidRDefault="00000000">
            <w:r>
              <w:rPr>
                <w:color w:val="334155"/>
                <w:sz w:val="17"/>
                <w:szCs w:val="17"/>
              </w:rPr>
              <w:t>Re-launching the usual</w:t>
            </w:r>
          </w:p>
        </w:tc>
        <w:tc>
          <w:tcPr>
            <w:tcW w:w="4119"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6CBCA5C9" w14:textId="77777777" w:rsidR="006A70CC" w:rsidRDefault="00000000">
            <w:r>
              <w:rPr>
                <w:color w:val="334155"/>
                <w:sz w:val="17"/>
                <w:szCs w:val="17"/>
              </w:rPr>
              <w:t>Costed 'do nothing' option</w:t>
            </w:r>
          </w:p>
        </w:tc>
      </w:tr>
      <w:tr w:rsidR="006A70CC" w14:paraId="67C37A2F" w14:textId="77777777">
        <w:tblPrEx>
          <w:tblCellMar>
            <w:top w:w="0" w:type="dxa"/>
            <w:bottom w:w="0" w:type="dxa"/>
          </w:tblCellMar>
        </w:tblPrEx>
        <w:tc>
          <w:tcPr>
            <w:tcW w:w="20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1E798CCA" w14:textId="77777777" w:rsidR="006A70CC" w:rsidRDefault="00000000">
            <w:r>
              <w:rPr>
                <w:color w:val="334155"/>
                <w:sz w:val="17"/>
                <w:szCs w:val="17"/>
              </w:rPr>
              <w:t>Partition dependence</w:t>
            </w:r>
          </w:p>
        </w:tc>
        <w:tc>
          <w:tcPr>
            <w:tcW w:w="3519"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381AD5D5" w14:textId="77777777" w:rsidR="006A70CC" w:rsidRDefault="00000000">
            <w:r>
              <w:rPr>
                <w:color w:val="334155"/>
                <w:sz w:val="17"/>
                <w:szCs w:val="17"/>
              </w:rPr>
              <w:t>Sprinkling capex evenly</w:t>
            </w:r>
          </w:p>
        </w:tc>
        <w:tc>
          <w:tcPr>
            <w:tcW w:w="4119"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788A2BE9" w14:textId="77777777" w:rsidR="006A70CC" w:rsidRDefault="00000000">
            <w:r>
              <w:rPr>
                <w:color w:val="334155"/>
                <w:sz w:val="17"/>
                <w:szCs w:val="17"/>
              </w:rPr>
              <w:t>Capital rationed on NPV / risk</w:t>
            </w:r>
          </w:p>
        </w:tc>
      </w:tr>
    </w:tbl>
    <w:p w14:paraId="51335688" w14:textId="77777777" w:rsidR="006A70CC" w:rsidRDefault="00000000">
      <w:pPr>
        <w:spacing w:before="40" w:after="200" w:line="276" w:lineRule="auto"/>
      </w:pPr>
      <w:r>
        <w:rPr>
          <w:i/>
          <w:iCs/>
          <w:color w:val="64748B"/>
          <w:sz w:val="16"/>
          <w:szCs w:val="16"/>
        </w:rPr>
        <w:t>Table 5 — LSE Module 8 biases applied to FID.</w:t>
      </w:r>
    </w:p>
    <w:p w14:paraId="398B8A1B" w14:textId="77777777" w:rsidR="006A70CC" w:rsidRDefault="00000000">
      <w:pPr>
        <w:pStyle w:val="Heading2"/>
      </w:pPr>
      <w:r>
        <w:t>12.2 Debiasing toolkit to write into the process</w:t>
      </w:r>
    </w:p>
    <w:p w14:paraId="393DFA76" w14:textId="77777777" w:rsidR="006A70CC" w:rsidRDefault="00000000">
      <w:pPr>
        <w:spacing w:after="120" w:line="276" w:lineRule="auto"/>
      </w:pPr>
      <w:r>
        <w:rPr>
          <w:color w:val="334155"/>
        </w:rPr>
        <w:t>Motivation: sponsor accountability in front of the committee (watch the risk of producing 'defensible' files rather than true ones); incentives on forecast quality, not on 'Go'.</w:t>
      </w:r>
    </w:p>
    <w:p w14:paraId="19BE53BE" w14:textId="77777777" w:rsidR="006A70CC" w:rsidRDefault="00000000">
      <w:pPr>
        <w:spacing w:after="120" w:line="276" w:lineRule="auto"/>
      </w:pPr>
      <w:r>
        <w:rPr>
          <w:color w:val="334155"/>
        </w:rPr>
        <w:t>Cognition: consider the opposite; five-step outside view; pre-mortem; calibration training (LSE example: Shell geologists trained on past cases).</w:t>
      </w:r>
    </w:p>
    <w:p w14:paraId="359F4F74" w14:textId="77777777" w:rsidR="006A70CC" w:rsidRDefault="00000000">
      <w:pPr>
        <w:spacing w:after="120" w:line="276" w:lineRule="auto"/>
      </w:pPr>
      <w:r>
        <w:rPr>
          <w:color w:val="334155"/>
        </w:rPr>
        <w:lastRenderedPageBreak/>
        <w:t>Design: written independent opinions before the session; individual estimates before group discussion (avoid anchoring); decision analysis if multi-criteria.</w:t>
      </w:r>
    </w:p>
    <w:p w14:paraId="3BB7EE28" w14:textId="77777777" w:rsidR="006A70CC" w:rsidRDefault="00000000">
      <w:pPr>
        <w:pStyle w:val="Heading1"/>
        <w:pBdr>
          <w:bottom w:val="single" w:sz="12" w:space="4" w:color="1B365D"/>
        </w:pBdr>
      </w:pPr>
      <w:r>
        <w:t>13. Governance, roles and RACI</w:t>
      </w:r>
    </w:p>
    <w:p w14:paraId="1A384648" w14:textId="77777777" w:rsidR="006A70CC" w:rsidRDefault="00000000">
      <w:pPr>
        <w:spacing w:after="120" w:line="276" w:lineRule="auto"/>
      </w:pPr>
      <w:proofErr w:type="gramStart"/>
      <w:r>
        <w:rPr>
          <w:color w:val="334155"/>
        </w:rPr>
        <w:t>A</w:t>
      </w:r>
      <w:proofErr w:type="gramEnd"/>
      <w:r>
        <w:rPr>
          <w:color w:val="334155"/>
        </w:rPr>
        <w:t xml:space="preserve"> FID without a power architecture produces either zombie projects or political Goes.</w:t>
      </w:r>
    </w:p>
    <w:p w14:paraId="7BECF226" w14:textId="77777777" w:rsidR="006A70CC" w:rsidRDefault="00000000">
      <w:pPr>
        <w:pStyle w:val="Heading2"/>
      </w:pPr>
      <w:r>
        <w:t>13.1 Roles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838"/>
      </w:tblGrid>
      <w:tr w:rsidR="006A70CC" w14:paraId="475C8747" w14:textId="77777777">
        <w:tblPrEx>
          <w:tblCellMar>
            <w:top w:w="0" w:type="dxa"/>
            <w:bottom w:w="0" w:type="dxa"/>
          </w:tblCellMar>
        </w:tblPrEx>
        <w:trPr>
          <w:tblHeader/>
        </w:trPr>
        <w:tc>
          <w:tcPr>
            <w:tcW w:w="2800" w:type="dxa"/>
            <w:tcBorders>
              <w:top w:val="single" w:sz="4" w:space="0" w:color="CBD5E1"/>
              <w:left w:val="single" w:sz="4" w:space="0" w:color="CBD5E1"/>
              <w:bottom w:val="single" w:sz="4" w:space="0" w:color="CBD5E1"/>
              <w:right w:val="single" w:sz="4" w:space="0" w:color="CBD5E1"/>
            </w:tcBorders>
            <w:shd w:val="clear" w:color="auto" w:fill="1B365D"/>
            <w:tcMar>
              <w:top w:w="60" w:type="dxa"/>
              <w:left w:w="80" w:type="dxa"/>
              <w:bottom w:w="60" w:type="dxa"/>
              <w:right w:w="80" w:type="dxa"/>
            </w:tcMar>
            <w:vAlign w:val="center"/>
          </w:tcPr>
          <w:p w14:paraId="4C128C46" w14:textId="77777777" w:rsidR="006A70CC" w:rsidRDefault="00000000">
            <w:r>
              <w:rPr>
                <w:b/>
                <w:bCs/>
                <w:color w:val="FFFFFF"/>
                <w:sz w:val="17"/>
                <w:szCs w:val="17"/>
              </w:rPr>
              <w:t>Role</w:t>
            </w:r>
          </w:p>
        </w:tc>
        <w:tc>
          <w:tcPr>
            <w:tcW w:w="6838" w:type="dxa"/>
            <w:tcBorders>
              <w:top w:val="single" w:sz="4" w:space="0" w:color="CBD5E1"/>
              <w:left w:val="single" w:sz="4" w:space="0" w:color="CBD5E1"/>
              <w:bottom w:val="single" w:sz="4" w:space="0" w:color="CBD5E1"/>
              <w:right w:val="single" w:sz="4" w:space="0" w:color="CBD5E1"/>
            </w:tcBorders>
            <w:shd w:val="clear" w:color="auto" w:fill="1B365D"/>
            <w:tcMar>
              <w:top w:w="60" w:type="dxa"/>
              <w:left w:w="80" w:type="dxa"/>
              <w:bottom w:w="60" w:type="dxa"/>
              <w:right w:w="80" w:type="dxa"/>
            </w:tcMar>
            <w:vAlign w:val="center"/>
          </w:tcPr>
          <w:p w14:paraId="7E9C25A1" w14:textId="77777777" w:rsidR="006A70CC" w:rsidRDefault="00000000">
            <w:r>
              <w:rPr>
                <w:b/>
                <w:bCs/>
                <w:color w:val="FFFFFF"/>
                <w:sz w:val="17"/>
                <w:szCs w:val="17"/>
              </w:rPr>
              <w:t>Responsibility through FID</w:t>
            </w:r>
          </w:p>
        </w:tc>
      </w:tr>
      <w:tr w:rsidR="006A70CC" w14:paraId="2341CFE0" w14:textId="77777777">
        <w:tblPrEx>
          <w:tblCellMar>
            <w:top w:w="0" w:type="dxa"/>
            <w:bottom w:w="0" w:type="dxa"/>
          </w:tblCellMar>
        </w:tblPrEx>
        <w:tc>
          <w:tcPr>
            <w:tcW w:w="28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43BE76F3" w14:textId="77777777" w:rsidR="006A70CC" w:rsidRDefault="00000000">
            <w:r>
              <w:rPr>
                <w:color w:val="334155"/>
                <w:sz w:val="17"/>
                <w:szCs w:val="17"/>
              </w:rPr>
              <w:t>Sponsor</w:t>
            </w:r>
          </w:p>
        </w:tc>
        <w:tc>
          <w:tcPr>
            <w:tcW w:w="6838"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7CE61F0A" w14:textId="77777777" w:rsidR="006A70CC" w:rsidRDefault="00000000">
            <w:r>
              <w:rPr>
                <w:color w:val="334155"/>
                <w:sz w:val="17"/>
                <w:szCs w:val="17"/>
              </w:rPr>
              <w:t>Owns the recommendation, protects the kill, owns the lookback</w:t>
            </w:r>
          </w:p>
        </w:tc>
      </w:tr>
      <w:tr w:rsidR="006A70CC" w14:paraId="313426F4" w14:textId="77777777">
        <w:tblPrEx>
          <w:tblCellMar>
            <w:top w:w="0" w:type="dxa"/>
            <w:bottom w:w="0" w:type="dxa"/>
          </w:tblCellMar>
        </w:tblPrEx>
        <w:tc>
          <w:tcPr>
            <w:tcW w:w="28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2ED086FD" w14:textId="77777777" w:rsidR="006A70CC" w:rsidRDefault="00000000">
            <w:r>
              <w:rPr>
                <w:color w:val="334155"/>
                <w:sz w:val="17"/>
                <w:szCs w:val="17"/>
              </w:rPr>
              <w:t>Project Director / PM</w:t>
            </w:r>
          </w:p>
        </w:tc>
        <w:tc>
          <w:tcPr>
            <w:tcW w:w="6838"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10D75DBF" w14:textId="77777777" w:rsidR="006A70CC" w:rsidRDefault="00000000">
            <w:r>
              <w:rPr>
                <w:color w:val="334155"/>
                <w:sz w:val="17"/>
                <w:szCs w:val="17"/>
              </w:rPr>
              <w:t>Integrates scope, cost, schedule, risk, package</w:t>
            </w:r>
          </w:p>
        </w:tc>
      </w:tr>
      <w:tr w:rsidR="006A70CC" w14:paraId="3D3BCCED" w14:textId="77777777">
        <w:tblPrEx>
          <w:tblCellMar>
            <w:top w:w="0" w:type="dxa"/>
            <w:bottom w:w="0" w:type="dxa"/>
          </w:tblCellMar>
        </w:tblPrEx>
        <w:tc>
          <w:tcPr>
            <w:tcW w:w="28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38C72BD1" w14:textId="77777777" w:rsidR="006A70CC" w:rsidRDefault="00000000">
            <w:r>
              <w:rPr>
                <w:color w:val="334155"/>
                <w:sz w:val="17"/>
                <w:szCs w:val="17"/>
              </w:rPr>
              <w:t>Project finance</w:t>
            </w:r>
          </w:p>
        </w:tc>
        <w:tc>
          <w:tcPr>
            <w:tcW w:w="6838"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4BE8CE36" w14:textId="77777777" w:rsidR="006A70CC" w:rsidRDefault="00000000">
            <w:r>
              <w:rPr>
                <w:color w:val="334155"/>
                <w:sz w:val="17"/>
                <w:szCs w:val="17"/>
              </w:rPr>
              <w:t>Model, rate, sensitivities, balance-sheet impact</w:t>
            </w:r>
          </w:p>
        </w:tc>
      </w:tr>
      <w:tr w:rsidR="006A70CC" w14:paraId="0E5D67B1" w14:textId="77777777">
        <w:tblPrEx>
          <w:tblCellMar>
            <w:top w:w="0" w:type="dxa"/>
            <w:bottom w:w="0" w:type="dxa"/>
          </w:tblCellMar>
        </w:tblPrEx>
        <w:tc>
          <w:tcPr>
            <w:tcW w:w="28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3A317BBC" w14:textId="77777777" w:rsidR="006A70CC" w:rsidRDefault="00000000">
            <w:r>
              <w:rPr>
                <w:color w:val="334155"/>
                <w:sz w:val="17"/>
                <w:szCs w:val="17"/>
              </w:rPr>
              <w:t>Engineering / FEED lead</w:t>
            </w:r>
          </w:p>
        </w:tc>
        <w:tc>
          <w:tcPr>
            <w:tcW w:w="6838"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1764BAC2" w14:textId="77777777" w:rsidR="006A70CC" w:rsidRDefault="00000000">
            <w:r>
              <w:rPr>
                <w:color w:val="334155"/>
                <w:sz w:val="17"/>
                <w:szCs w:val="17"/>
              </w:rPr>
              <w:t>Technical maturity and exclusions</w:t>
            </w:r>
          </w:p>
        </w:tc>
      </w:tr>
      <w:tr w:rsidR="006A70CC" w14:paraId="2D6C5DF3" w14:textId="77777777">
        <w:tblPrEx>
          <w:tblCellMar>
            <w:top w:w="0" w:type="dxa"/>
            <w:bottom w:w="0" w:type="dxa"/>
          </w:tblCellMar>
        </w:tblPrEx>
        <w:tc>
          <w:tcPr>
            <w:tcW w:w="28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305FA228" w14:textId="77777777" w:rsidR="006A70CC" w:rsidRDefault="00000000">
            <w:r>
              <w:rPr>
                <w:color w:val="334155"/>
                <w:sz w:val="17"/>
                <w:szCs w:val="17"/>
              </w:rPr>
              <w:t>Risk / HSE / ESG</w:t>
            </w:r>
          </w:p>
        </w:tc>
        <w:tc>
          <w:tcPr>
            <w:tcW w:w="6838"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5FDC9C7D" w14:textId="77777777" w:rsidR="006A70CC" w:rsidRDefault="00000000">
            <w:r>
              <w:rPr>
                <w:color w:val="334155"/>
                <w:sz w:val="17"/>
                <w:szCs w:val="17"/>
              </w:rPr>
              <w:t>Register, pre-mortem, permits</w:t>
            </w:r>
          </w:p>
        </w:tc>
      </w:tr>
      <w:tr w:rsidR="006A70CC" w14:paraId="03307F84" w14:textId="77777777">
        <w:tblPrEx>
          <w:tblCellMar>
            <w:top w:w="0" w:type="dxa"/>
            <w:bottom w:w="0" w:type="dxa"/>
          </w:tblCellMar>
        </w:tblPrEx>
        <w:tc>
          <w:tcPr>
            <w:tcW w:w="28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315CF464" w14:textId="77777777" w:rsidR="006A70CC" w:rsidRDefault="00000000">
            <w:r>
              <w:rPr>
                <w:color w:val="334155"/>
                <w:sz w:val="17"/>
                <w:szCs w:val="17"/>
              </w:rPr>
              <w:t>Legal / Contract</w:t>
            </w:r>
          </w:p>
        </w:tc>
        <w:tc>
          <w:tcPr>
            <w:tcW w:w="6838"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5618743F" w14:textId="77777777" w:rsidR="006A70CC" w:rsidRDefault="00000000">
            <w:r>
              <w:rPr>
                <w:color w:val="334155"/>
                <w:sz w:val="17"/>
                <w:szCs w:val="17"/>
              </w:rPr>
              <w:t>Contractual allocation and conditions</w:t>
            </w:r>
          </w:p>
        </w:tc>
      </w:tr>
      <w:tr w:rsidR="006A70CC" w14:paraId="1AB4F9A9" w14:textId="77777777">
        <w:tblPrEx>
          <w:tblCellMar>
            <w:top w:w="0" w:type="dxa"/>
            <w:bottom w:w="0" w:type="dxa"/>
          </w:tblCellMar>
        </w:tblPrEx>
        <w:tc>
          <w:tcPr>
            <w:tcW w:w="28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76988A45" w14:textId="77777777" w:rsidR="006A70CC" w:rsidRDefault="00000000">
            <w:r>
              <w:rPr>
                <w:color w:val="334155"/>
                <w:sz w:val="17"/>
                <w:szCs w:val="17"/>
              </w:rPr>
              <w:t>Treasury / CFO</w:t>
            </w:r>
          </w:p>
        </w:tc>
        <w:tc>
          <w:tcPr>
            <w:tcW w:w="6838"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54FD766C" w14:textId="77777777" w:rsidR="006A70CC" w:rsidRDefault="00000000">
            <w:r>
              <w:rPr>
                <w:color w:val="334155"/>
                <w:sz w:val="17"/>
                <w:szCs w:val="17"/>
              </w:rPr>
              <w:t>Funding, covenants, liquidity</w:t>
            </w:r>
          </w:p>
        </w:tc>
      </w:tr>
      <w:tr w:rsidR="006A70CC" w14:paraId="3AD34942" w14:textId="77777777">
        <w:tblPrEx>
          <w:tblCellMar>
            <w:top w:w="0" w:type="dxa"/>
            <w:bottom w:w="0" w:type="dxa"/>
          </w:tblCellMar>
        </w:tblPrEx>
        <w:tc>
          <w:tcPr>
            <w:tcW w:w="28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2BDA7581" w14:textId="77777777" w:rsidR="006A70CC" w:rsidRDefault="00000000">
            <w:r>
              <w:rPr>
                <w:color w:val="334155"/>
                <w:sz w:val="17"/>
                <w:szCs w:val="17"/>
              </w:rPr>
              <w:t>PMO / Assurance</w:t>
            </w:r>
          </w:p>
        </w:tc>
        <w:tc>
          <w:tcPr>
            <w:tcW w:w="6838"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76DA96AC" w14:textId="77777777" w:rsidR="006A70CC" w:rsidRDefault="00000000">
            <w:r>
              <w:rPr>
                <w:color w:val="334155"/>
                <w:sz w:val="17"/>
                <w:szCs w:val="17"/>
              </w:rPr>
              <w:t>Gate quality, cold-eye, checklist</w:t>
            </w:r>
          </w:p>
        </w:tc>
      </w:tr>
      <w:tr w:rsidR="006A70CC" w14:paraId="30362F68" w14:textId="77777777">
        <w:tblPrEx>
          <w:tblCellMar>
            <w:top w:w="0" w:type="dxa"/>
            <w:bottom w:w="0" w:type="dxa"/>
          </w:tblCellMar>
        </w:tblPrEx>
        <w:tc>
          <w:tcPr>
            <w:tcW w:w="28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56AE3DB8" w14:textId="77777777" w:rsidR="006A70CC" w:rsidRDefault="00000000">
            <w:r>
              <w:rPr>
                <w:color w:val="334155"/>
                <w:sz w:val="17"/>
                <w:szCs w:val="17"/>
              </w:rPr>
              <w:t>Investment committee</w:t>
            </w:r>
          </w:p>
        </w:tc>
        <w:tc>
          <w:tcPr>
            <w:tcW w:w="6838"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7582A664" w14:textId="77777777" w:rsidR="006A70CC" w:rsidRDefault="00000000">
            <w:r>
              <w:rPr>
                <w:color w:val="334155"/>
                <w:sz w:val="17"/>
                <w:szCs w:val="17"/>
              </w:rPr>
              <w:t>Decide Approve / Defer / Reject</w:t>
            </w:r>
          </w:p>
        </w:tc>
      </w:tr>
    </w:tbl>
    <w:p w14:paraId="29C583F8" w14:textId="77777777" w:rsidR="006A70CC" w:rsidRDefault="00000000">
      <w:pPr>
        <w:pStyle w:val="Heading2"/>
      </w:pPr>
      <w:r>
        <w:t>13.2 Session rules</w:t>
      </w:r>
    </w:p>
    <w:p w14:paraId="19649D1C" w14:textId="77777777" w:rsidR="006A70CC" w:rsidRDefault="00000000">
      <w:pPr>
        <w:pStyle w:val="ListParagraph"/>
        <w:numPr>
          <w:ilvl w:val="0"/>
          <w:numId w:val="2"/>
        </w:numPr>
        <w:spacing w:after="60" w:line="260" w:lineRule="auto"/>
      </w:pPr>
      <w:r>
        <w:rPr>
          <w:color w:val="334155"/>
        </w:rPr>
        <w:t>File frozen and circulated N days ahead (typically 5 to 10 working days).</w:t>
      </w:r>
    </w:p>
    <w:p w14:paraId="43EBF0BF" w14:textId="77777777" w:rsidR="006A70CC" w:rsidRDefault="00000000">
      <w:pPr>
        <w:pStyle w:val="ListParagraph"/>
        <w:numPr>
          <w:ilvl w:val="0"/>
          <w:numId w:val="2"/>
        </w:numPr>
        <w:spacing w:after="60" w:line="260" w:lineRule="auto"/>
      </w:pPr>
      <w:r>
        <w:rPr>
          <w:color w:val="334155"/>
        </w:rPr>
        <w:t>Three-page note read first; annexes only on question.</w:t>
      </w:r>
    </w:p>
    <w:p w14:paraId="4D7FA45B" w14:textId="77777777" w:rsidR="006A70CC" w:rsidRDefault="00000000">
      <w:pPr>
        <w:pStyle w:val="ListParagraph"/>
        <w:numPr>
          <w:ilvl w:val="0"/>
          <w:numId w:val="2"/>
        </w:numPr>
        <w:spacing w:after="60" w:line="260" w:lineRule="auto"/>
      </w:pPr>
      <w:r>
        <w:rPr>
          <w:color w:val="334155"/>
        </w:rPr>
        <w:t>A named challenger who is not the project champion.</w:t>
      </w:r>
    </w:p>
    <w:p w14:paraId="34D11026" w14:textId="77777777" w:rsidR="006A70CC" w:rsidRDefault="00000000">
      <w:pPr>
        <w:pStyle w:val="ListParagraph"/>
        <w:numPr>
          <w:ilvl w:val="0"/>
          <w:numId w:val="2"/>
        </w:numPr>
        <w:spacing w:after="60" w:line="260" w:lineRule="auto"/>
      </w:pPr>
      <w:r>
        <w:rPr>
          <w:color w:val="334155"/>
        </w:rPr>
        <w:t xml:space="preserve">Decision </w:t>
      </w:r>
      <w:proofErr w:type="spellStart"/>
      <w:r>
        <w:rPr>
          <w:color w:val="334155"/>
        </w:rPr>
        <w:t>minuted</w:t>
      </w:r>
      <w:proofErr w:type="spellEnd"/>
      <w:r>
        <w:rPr>
          <w:color w:val="334155"/>
        </w:rPr>
        <w:t>, conditions dated, owner for each condition.</w:t>
      </w:r>
    </w:p>
    <w:p w14:paraId="53655A85" w14:textId="77777777" w:rsidR="006A70CC" w:rsidRDefault="00000000">
      <w:pPr>
        <w:pStyle w:val="ListParagraph"/>
        <w:numPr>
          <w:ilvl w:val="0"/>
          <w:numId w:val="2"/>
        </w:numPr>
        <w:spacing w:after="60" w:line="260" w:lineRule="auto"/>
      </w:pPr>
      <w:r>
        <w:rPr>
          <w:color w:val="334155"/>
        </w:rPr>
        <w:t>Mandatory lookback 12–24 months after start-up (LSE feedback / calibration).</w:t>
      </w:r>
    </w:p>
    <w:p w14:paraId="724E7C8D" w14:textId="77777777" w:rsidR="006A70CC" w:rsidRDefault="00000000">
      <w:pPr>
        <w:pStyle w:val="Heading1"/>
        <w:pBdr>
          <w:bottom w:val="single" w:sz="12" w:space="4" w:color="1B365D"/>
        </w:pBdr>
      </w:pPr>
      <w:r>
        <w:t xml:space="preserve">14. Master </w:t>
      </w:r>
      <w:proofErr w:type="gramStart"/>
      <w:r>
        <w:t>pre-FID</w:t>
      </w:r>
      <w:proofErr w:type="gramEnd"/>
      <w:r>
        <w:t xml:space="preserve"> checklists</w:t>
      </w:r>
    </w:p>
    <w:p w14:paraId="480D1E11" w14:textId="77777777" w:rsidR="006A70CC" w:rsidRDefault="00000000">
      <w:pPr>
        <w:spacing w:after="120" w:line="276" w:lineRule="auto"/>
      </w:pPr>
      <w:r>
        <w:rPr>
          <w:color w:val="334155"/>
        </w:rPr>
        <w:t>Do not send the file to the committee secretariat while a critical line is red. 'Desirable' items may stay amber with a dated plan.</w:t>
      </w:r>
    </w:p>
    <w:p w14:paraId="3A473AC8" w14:textId="77777777" w:rsidR="006A70CC" w:rsidRDefault="00000000">
      <w:pPr>
        <w:pStyle w:val="Heading2"/>
      </w:pPr>
      <w:r>
        <w:t>14.1 Technical maturity and estimate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00"/>
        <w:gridCol w:w="4038"/>
      </w:tblGrid>
      <w:tr w:rsidR="006A70CC" w14:paraId="0DB0C90C" w14:textId="77777777">
        <w:tblPrEx>
          <w:tblCellMar>
            <w:top w:w="0" w:type="dxa"/>
            <w:bottom w:w="0" w:type="dxa"/>
          </w:tblCellMar>
        </w:tblPrEx>
        <w:trPr>
          <w:tblHeader/>
        </w:trPr>
        <w:tc>
          <w:tcPr>
            <w:tcW w:w="5600" w:type="dxa"/>
            <w:tcBorders>
              <w:top w:val="single" w:sz="4" w:space="0" w:color="CBD5E1"/>
              <w:left w:val="single" w:sz="4" w:space="0" w:color="CBD5E1"/>
              <w:bottom w:val="single" w:sz="4" w:space="0" w:color="CBD5E1"/>
              <w:right w:val="single" w:sz="4" w:space="0" w:color="CBD5E1"/>
            </w:tcBorders>
            <w:shd w:val="clear" w:color="auto" w:fill="1B365D"/>
            <w:tcMar>
              <w:top w:w="60" w:type="dxa"/>
              <w:left w:w="80" w:type="dxa"/>
              <w:bottom w:w="60" w:type="dxa"/>
              <w:right w:w="80" w:type="dxa"/>
            </w:tcMar>
            <w:vAlign w:val="center"/>
          </w:tcPr>
          <w:p w14:paraId="59A6E4DE" w14:textId="77777777" w:rsidR="006A70CC" w:rsidRDefault="00000000">
            <w:r>
              <w:rPr>
                <w:b/>
                <w:bCs/>
                <w:color w:val="FFFFFF"/>
                <w:sz w:val="17"/>
                <w:szCs w:val="17"/>
              </w:rPr>
              <w:t>Item</w:t>
            </w:r>
          </w:p>
        </w:tc>
        <w:tc>
          <w:tcPr>
            <w:tcW w:w="4038" w:type="dxa"/>
            <w:tcBorders>
              <w:top w:val="single" w:sz="4" w:space="0" w:color="CBD5E1"/>
              <w:left w:val="single" w:sz="4" w:space="0" w:color="CBD5E1"/>
              <w:bottom w:val="single" w:sz="4" w:space="0" w:color="CBD5E1"/>
              <w:right w:val="single" w:sz="4" w:space="0" w:color="CBD5E1"/>
            </w:tcBorders>
            <w:shd w:val="clear" w:color="auto" w:fill="1B365D"/>
            <w:tcMar>
              <w:top w:w="60" w:type="dxa"/>
              <w:left w:w="80" w:type="dxa"/>
              <w:bottom w:w="60" w:type="dxa"/>
              <w:right w:w="80" w:type="dxa"/>
            </w:tcMar>
            <w:vAlign w:val="center"/>
          </w:tcPr>
          <w:p w14:paraId="72A70D29" w14:textId="77777777" w:rsidR="006A70CC" w:rsidRDefault="00000000">
            <w:r>
              <w:rPr>
                <w:b/>
                <w:bCs/>
                <w:color w:val="FFFFFF"/>
                <w:sz w:val="17"/>
                <w:szCs w:val="17"/>
              </w:rPr>
              <w:t>Expected status at FID</w:t>
            </w:r>
          </w:p>
        </w:tc>
      </w:tr>
      <w:tr w:rsidR="006A70CC" w14:paraId="63FC111C" w14:textId="77777777">
        <w:tblPrEx>
          <w:tblCellMar>
            <w:top w:w="0" w:type="dxa"/>
            <w:bottom w:w="0" w:type="dxa"/>
          </w:tblCellMar>
        </w:tblPrEx>
        <w:tc>
          <w:tcPr>
            <w:tcW w:w="56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521D7B18" w14:textId="77777777" w:rsidR="006A70CC" w:rsidRDefault="00000000">
            <w:r>
              <w:rPr>
                <w:color w:val="334155"/>
                <w:sz w:val="17"/>
                <w:szCs w:val="17"/>
              </w:rPr>
              <w:t>Signed design basis</w:t>
            </w:r>
          </w:p>
        </w:tc>
        <w:tc>
          <w:tcPr>
            <w:tcW w:w="4038"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5008283A" w14:textId="77777777" w:rsidR="006A70CC" w:rsidRDefault="00000000">
            <w:r>
              <w:rPr>
                <w:color w:val="334155"/>
                <w:sz w:val="17"/>
                <w:szCs w:val="17"/>
              </w:rPr>
              <w:t>Frozen</w:t>
            </w:r>
          </w:p>
        </w:tc>
      </w:tr>
      <w:tr w:rsidR="006A70CC" w14:paraId="6BC31D48" w14:textId="77777777">
        <w:tblPrEx>
          <w:tblCellMar>
            <w:top w:w="0" w:type="dxa"/>
            <w:bottom w:w="0" w:type="dxa"/>
          </w:tblCellMar>
        </w:tblPrEx>
        <w:tc>
          <w:tcPr>
            <w:tcW w:w="56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5829496B" w14:textId="77777777" w:rsidR="006A70CC" w:rsidRDefault="00000000">
            <w:r>
              <w:rPr>
                <w:color w:val="334155"/>
                <w:sz w:val="17"/>
                <w:szCs w:val="17"/>
              </w:rPr>
              <w:t>FEED complete on the commitment scope</w:t>
            </w:r>
          </w:p>
        </w:tc>
        <w:tc>
          <w:tcPr>
            <w:tcW w:w="4038"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42F27D71" w14:textId="77777777" w:rsidR="006A70CC" w:rsidRDefault="00000000">
            <w:r>
              <w:rPr>
                <w:color w:val="334155"/>
                <w:sz w:val="17"/>
                <w:szCs w:val="17"/>
              </w:rPr>
              <w:t>Yes</w:t>
            </w:r>
          </w:p>
        </w:tc>
      </w:tr>
      <w:tr w:rsidR="006A70CC" w14:paraId="33EC0D2A" w14:textId="77777777">
        <w:tblPrEx>
          <w:tblCellMar>
            <w:top w:w="0" w:type="dxa"/>
            <w:bottom w:w="0" w:type="dxa"/>
          </w:tblCellMar>
        </w:tblPrEx>
        <w:tc>
          <w:tcPr>
            <w:tcW w:w="56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37474D11" w14:textId="77777777" w:rsidR="006A70CC" w:rsidRDefault="00000000">
            <w:r>
              <w:rPr>
                <w:color w:val="334155"/>
                <w:sz w:val="17"/>
                <w:szCs w:val="17"/>
              </w:rPr>
              <w:t>Exclusions and interfaces documented</w:t>
            </w:r>
          </w:p>
        </w:tc>
        <w:tc>
          <w:tcPr>
            <w:tcW w:w="4038"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45644D08" w14:textId="77777777" w:rsidR="006A70CC" w:rsidRDefault="00000000">
            <w:r>
              <w:rPr>
                <w:color w:val="334155"/>
                <w:sz w:val="17"/>
                <w:szCs w:val="17"/>
              </w:rPr>
              <w:t>Yes</w:t>
            </w:r>
          </w:p>
        </w:tc>
      </w:tr>
      <w:tr w:rsidR="006A70CC" w14:paraId="35369468" w14:textId="77777777">
        <w:tblPrEx>
          <w:tblCellMar>
            <w:top w:w="0" w:type="dxa"/>
            <w:bottom w:w="0" w:type="dxa"/>
          </w:tblCellMar>
        </w:tblPrEx>
        <w:tc>
          <w:tcPr>
            <w:tcW w:w="56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01C1D542" w14:textId="77777777" w:rsidR="006A70CC" w:rsidRDefault="00000000">
            <w:r>
              <w:rPr>
                <w:color w:val="334155"/>
                <w:sz w:val="17"/>
                <w:szCs w:val="17"/>
              </w:rPr>
              <w:t>Class 3 estimate (±10–15%)</w:t>
            </w:r>
          </w:p>
        </w:tc>
        <w:tc>
          <w:tcPr>
            <w:tcW w:w="4038"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041F0605" w14:textId="77777777" w:rsidR="006A70CC" w:rsidRDefault="00000000">
            <w:r>
              <w:rPr>
                <w:color w:val="334155"/>
                <w:sz w:val="17"/>
                <w:szCs w:val="17"/>
              </w:rPr>
              <w:t>Yes</w:t>
            </w:r>
          </w:p>
        </w:tc>
      </w:tr>
      <w:tr w:rsidR="006A70CC" w14:paraId="03582308" w14:textId="77777777">
        <w:tblPrEx>
          <w:tblCellMar>
            <w:top w:w="0" w:type="dxa"/>
            <w:bottom w:w="0" w:type="dxa"/>
          </w:tblCellMar>
        </w:tblPrEx>
        <w:tc>
          <w:tcPr>
            <w:tcW w:w="56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09E8392A" w14:textId="77777777" w:rsidR="006A70CC" w:rsidRDefault="00000000">
            <w:r>
              <w:rPr>
                <w:color w:val="334155"/>
                <w:sz w:val="17"/>
                <w:szCs w:val="17"/>
              </w:rPr>
              <w:t>Contingency derived from risk</w:t>
            </w:r>
          </w:p>
        </w:tc>
        <w:tc>
          <w:tcPr>
            <w:tcW w:w="4038"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2CE5B4DC" w14:textId="77777777" w:rsidR="006A70CC" w:rsidRDefault="00000000">
            <w:r>
              <w:rPr>
                <w:color w:val="334155"/>
                <w:sz w:val="17"/>
                <w:szCs w:val="17"/>
              </w:rPr>
              <w:t>Yes</w:t>
            </w:r>
          </w:p>
        </w:tc>
      </w:tr>
      <w:tr w:rsidR="006A70CC" w14:paraId="0C194DB8" w14:textId="77777777">
        <w:tblPrEx>
          <w:tblCellMar>
            <w:top w:w="0" w:type="dxa"/>
            <w:bottom w:w="0" w:type="dxa"/>
          </w:tblCellMar>
        </w:tblPrEx>
        <w:tc>
          <w:tcPr>
            <w:tcW w:w="56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6744ABD7" w14:textId="77777777" w:rsidR="006A70CC" w:rsidRDefault="00000000">
            <w:r>
              <w:rPr>
                <w:color w:val="334155"/>
                <w:sz w:val="17"/>
                <w:szCs w:val="17"/>
              </w:rPr>
              <w:t>Integrated schedule + critical path</w:t>
            </w:r>
          </w:p>
        </w:tc>
        <w:tc>
          <w:tcPr>
            <w:tcW w:w="4038"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50815150" w14:textId="77777777" w:rsidR="006A70CC" w:rsidRDefault="00000000">
            <w:r>
              <w:rPr>
                <w:color w:val="334155"/>
                <w:sz w:val="17"/>
                <w:szCs w:val="17"/>
              </w:rPr>
              <w:t>Yes</w:t>
            </w:r>
          </w:p>
        </w:tc>
      </w:tr>
      <w:tr w:rsidR="006A70CC" w14:paraId="4B2A11AD" w14:textId="77777777">
        <w:tblPrEx>
          <w:tblCellMar>
            <w:top w:w="0" w:type="dxa"/>
            <w:bottom w:w="0" w:type="dxa"/>
          </w:tblCellMar>
        </w:tblPrEx>
        <w:tc>
          <w:tcPr>
            <w:tcW w:w="56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41C755A6" w14:textId="77777777" w:rsidR="006A70CC" w:rsidRDefault="00000000">
            <w:r>
              <w:rPr>
                <w:color w:val="334155"/>
                <w:sz w:val="17"/>
                <w:szCs w:val="17"/>
              </w:rPr>
              <w:t xml:space="preserve">Long leads identified and </w:t>
            </w:r>
            <w:proofErr w:type="spellStart"/>
            <w:r>
              <w:rPr>
                <w:color w:val="334155"/>
                <w:sz w:val="17"/>
                <w:szCs w:val="17"/>
              </w:rPr>
              <w:t>strategised</w:t>
            </w:r>
            <w:proofErr w:type="spellEnd"/>
          </w:p>
        </w:tc>
        <w:tc>
          <w:tcPr>
            <w:tcW w:w="4038"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172D97ED" w14:textId="77777777" w:rsidR="006A70CC" w:rsidRDefault="00000000">
            <w:r>
              <w:rPr>
                <w:color w:val="334155"/>
                <w:sz w:val="17"/>
                <w:szCs w:val="17"/>
              </w:rPr>
              <w:t>Yes</w:t>
            </w:r>
          </w:p>
        </w:tc>
      </w:tr>
    </w:tbl>
    <w:p w14:paraId="27F4E4A1" w14:textId="77777777" w:rsidR="006A70CC" w:rsidRDefault="00000000">
      <w:pPr>
        <w:pStyle w:val="Heading2"/>
      </w:pPr>
      <w:r>
        <w:t>14.2 Economics and finance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00"/>
        <w:gridCol w:w="4038"/>
      </w:tblGrid>
      <w:tr w:rsidR="006A70CC" w14:paraId="7F7C8547" w14:textId="77777777">
        <w:tblPrEx>
          <w:tblCellMar>
            <w:top w:w="0" w:type="dxa"/>
            <w:bottom w:w="0" w:type="dxa"/>
          </w:tblCellMar>
        </w:tblPrEx>
        <w:trPr>
          <w:tblHeader/>
        </w:trPr>
        <w:tc>
          <w:tcPr>
            <w:tcW w:w="5600" w:type="dxa"/>
            <w:tcBorders>
              <w:top w:val="single" w:sz="4" w:space="0" w:color="CBD5E1"/>
              <w:left w:val="single" w:sz="4" w:space="0" w:color="CBD5E1"/>
              <w:bottom w:val="single" w:sz="4" w:space="0" w:color="CBD5E1"/>
              <w:right w:val="single" w:sz="4" w:space="0" w:color="CBD5E1"/>
            </w:tcBorders>
            <w:shd w:val="clear" w:color="auto" w:fill="1B365D"/>
            <w:tcMar>
              <w:top w:w="60" w:type="dxa"/>
              <w:left w:w="80" w:type="dxa"/>
              <w:bottom w:w="60" w:type="dxa"/>
              <w:right w:w="80" w:type="dxa"/>
            </w:tcMar>
            <w:vAlign w:val="center"/>
          </w:tcPr>
          <w:p w14:paraId="78F3B29A" w14:textId="77777777" w:rsidR="006A70CC" w:rsidRDefault="00000000">
            <w:r>
              <w:rPr>
                <w:b/>
                <w:bCs/>
                <w:color w:val="FFFFFF"/>
                <w:sz w:val="17"/>
                <w:szCs w:val="17"/>
              </w:rPr>
              <w:t>Item</w:t>
            </w:r>
          </w:p>
        </w:tc>
        <w:tc>
          <w:tcPr>
            <w:tcW w:w="4038" w:type="dxa"/>
            <w:tcBorders>
              <w:top w:val="single" w:sz="4" w:space="0" w:color="CBD5E1"/>
              <w:left w:val="single" w:sz="4" w:space="0" w:color="CBD5E1"/>
              <w:bottom w:val="single" w:sz="4" w:space="0" w:color="CBD5E1"/>
              <w:right w:val="single" w:sz="4" w:space="0" w:color="CBD5E1"/>
            </w:tcBorders>
            <w:shd w:val="clear" w:color="auto" w:fill="1B365D"/>
            <w:tcMar>
              <w:top w:w="60" w:type="dxa"/>
              <w:left w:w="80" w:type="dxa"/>
              <w:bottom w:w="60" w:type="dxa"/>
              <w:right w:w="80" w:type="dxa"/>
            </w:tcMar>
            <w:vAlign w:val="center"/>
          </w:tcPr>
          <w:p w14:paraId="3817AE0A" w14:textId="77777777" w:rsidR="006A70CC" w:rsidRDefault="00000000">
            <w:r>
              <w:rPr>
                <w:b/>
                <w:bCs/>
                <w:color w:val="FFFFFF"/>
                <w:sz w:val="17"/>
                <w:szCs w:val="17"/>
              </w:rPr>
              <w:t>Expected status at FID</w:t>
            </w:r>
          </w:p>
        </w:tc>
      </w:tr>
      <w:tr w:rsidR="006A70CC" w14:paraId="4FE2F563" w14:textId="77777777">
        <w:tblPrEx>
          <w:tblCellMar>
            <w:top w:w="0" w:type="dxa"/>
            <w:bottom w:w="0" w:type="dxa"/>
          </w:tblCellMar>
        </w:tblPrEx>
        <w:tc>
          <w:tcPr>
            <w:tcW w:w="56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6711F837" w14:textId="77777777" w:rsidR="006A70CC" w:rsidRDefault="00000000">
            <w:r>
              <w:rPr>
                <w:color w:val="334155"/>
                <w:sz w:val="17"/>
                <w:szCs w:val="17"/>
              </w:rPr>
              <w:t>Versioned model + audit trail</w:t>
            </w:r>
          </w:p>
        </w:tc>
        <w:tc>
          <w:tcPr>
            <w:tcW w:w="4038"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376C46C0" w14:textId="77777777" w:rsidR="006A70CC" w:rsidRDefault="00000000">
            <w:r>
              <w:rPr>
                <w:color w:val="334155"/>
                <w:sz w:val="17"/>
                <w:szCs w:val="17"/>
              </w:rPr>
              <w:t>Yes</w:t>
            </w:r>
          </w:p>
        </w:tc>
      </w:tr>
      <w:tr w:rsidR="006A70CC" w14:paraId="6666460E" w14:textId="77777777">
        <w:tblPrEx>
          <w:tblCellMar>
            <w:top w:w="0" w:type="dxa"/>
            <w:bottom w:w="0" w:type="dxa"/>
          </w:tblCellMar>
        </w:tblPrEx>
        <w:tc>
          <w:tcPr>
            <w:tcW w:w="56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50ECB54D" w14:textId="77777777" w:rsidR="006A70CC" w:rsidRDefault="00000000">
            <w:r>
              <w:rPr>
                <w:color w:val="334155"/>
                <w:sz w:val="17"/>
                <w:szCs w:val="17"/>
              </w:rPr>
              <w:lastRenderedPageBreak/>
              <w:t>NPV at published rate, base and downside</w:t>
            </w:r>
          </w:p>
        </w:tc>
        <w:tc>
          <w:tcPr>
            <w:tcW w:w="4038"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23F418C0" w14:textId="77777777" w:rsidR="006A70CC" w:rsidRDefault="00000000">
            <w:r>
              <w:rPr>
                <w:color w:val="334155"/>
                <w:sz w:val="17"/>
                <w:szCs w:val="17"/>
              </w:rPr>
              <w:t>Yes</w:t>
            </w:r>
          </w:p>
        </w:tc>
      </w:tr>
      <w:tr w:rsidR="006A70CC" w14:paraId="0C4E9A2E" w14:textId="77777777">
        <w:tblPrEx>
          <w:tblCellMar>
            <w:top w:w="0" w:type="dxa"/>
            <w:bottom w:w="0" w:type="dxa"/>
          </w:tblCellMar>
        </w:tblPrEx>
        <w:tc>
          <w:tcPr>
            <w:tcW w:w="56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7C9A6BC9" w14:textId="77777777" w:rsidR="006A70CC" w:rsidRDefault="00000000">
            <w:r>
              <w:rPr>
                <w:color w:val="334155"/>
                <w:sz w:val="17"/>
                <w:szCs w:val="17"/>
              </w:rPr>
              <w:t>IRR vs explicit hurdle</w:t>
            </w:r>
          </w:p>
        </w:tc>
        <w:tc>
          <w:tcPr>
            <w:tcW w:w="4038"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4B260304" w14:textId="77777777" w:rsidR="006A70CC" w:rsidRDefault="00000000">
            <w:r>
              <w:rPr>
                <w:color w:val="334155"/>
                <w:sz w:val="17"/>
                <w:szCs w:val="17"/>
              </w:rPr>
              <w:t>Yes</w:t>
            </w:r>
          </w:p>
        </w:tc>
      </w:tr>
      <w:tr w:rsidR="006A70CC" w14:paraId="2AC3F20E" w14:textId="77777777">
        <w:tblPrEx>
          <w:tblCellMar>
            <w:top w:w="0" w:type="dxa"/>
            <w:bottom w:w="0" w:type="dxa"/>
          </w:tblCellMar>
        </w:tblPrEx>
        <w:tc>
          <w:tcPr>
            <w:tcW w:w="56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3E7D9580" w14:textId="77777777" w:rsidR="006A70CC" w:rsidRDefault="00000000">
            <w:r>
              <w:rPr>
                <w:color w:val="334155"/>
                <w:sz w:val="17"/>
                <w:szCs w:val="17"/>
              </w:rPr>
              <w:t>Payback and cash profile (construction trough)</w:t>
            </w:r>
          </w:p>
        </w:tc>
        <w:tc>
          <w:tcPr>
            <w:tcW w:w="4038"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72DD3194" w14:textId="77777777" w:rsidR="006A70CC" w:rsidRDefault="00000000">
            <w:r>
              <w:rPr>
                <w:color w:val="334155"/>
                <w:sz w:val="17"/>
                <w:szCs w:val="17"/>
              </w:rPr>
              <w:t>Yes</w:t>
            </w:r>
          </w:p>
        </w:tc>
      </w:tr>
      <w:tr w:rsidR="006A70CC" w14:paraId="3A019A51" w14:textId="77777777">
        <w:tblPrEx>
          <w:tblCellMar>
            <w:top w:w="0" w:type="dxa"/>
            <w:bottom w:w="0" w:type="dxa"/>
          </w:tblCellMar>
        </w:tblPrEx>
        <w:tc>
          <w:tcPr>
            <w:tcW w:w="56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3A29BD28" w14:textId="77777777" w:rsidR="006A70CC" w:rsidRDefault="00000000">
            <w:r>
              <w:rPr>
                <w:color w:val="334155"/>
                <w:sz w:val="17"/>
                <w:szCs w:val="17"/>
              </w:rPr>
              <w:t>Tax / inflation / FX documented</w:t>
            </w:r>
          </w:p>
        </w:tc>
        <w:tc>
          <w:tcPr>
            <w:tcW w:w="4038"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6E4A789A" w14:textId="77777777" w:rsidR="006A70CC" w:rsidRDefault="00000000">
            <w:r>
              <w:rPr>
                <w:color w:val="334155"/>
                <w:sz w:val="17"/>
                <w:szCs w:val="17"/>
              </w:rPr>
              <w:t>Yes</w:t>
            </w:r>
          </w:p>
        </w:tc>
      </w:tr>
      <w:tr w:rsidR="006A70CC" w14:paraId="4F5921F9" w14:textId="77777777">
        <w:tblPrEx>
          <w:tblCellMar>
            <w:top w:w="0" w:type="dxa"/>
            <w:bottom w:w="0" w:type="dxa"/>
          </w:tblCellMar>
        </w:tblPrEx>
        <w:tc>
          <w:tcPr>
            <w:tcW w:w="56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6A89DE54" w14:textId="77777777" w:rsidR="006A70CC" w:rsidRDefault="00000000">
            <w:r>
              <w:rPr>
                <w:color w:val="334155"/>
                <w:sz w:val="17"/>
                <w:szCs w:val="17"/>
              </w:rPr>
              <w:t>Gearing, liquidity, covenant impact</w:t>
            </w:r>
          </w:p>
        </w:tc>
        <w:tc>
          <w:tcPr>
            <w:tcW w:w="4038"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4623329A" w14:textId="77777777" w:rsidR="006A70CC" w:rsidRDefault="00000000">
            <w:r>
              <w:rPr>
                <w:color w:val="334155"/>
                <w:sz w:val="17"/>
                <w:szCs w:val="17"/>
              </w:rPr>
              <w:t>Yes</w:t>
            </w:r>
          </w:p>
        </w:tc>
      </w:tr>
      <w:tr w:rsidR="006A70CC" w14:paraId="44B5561A" w14:textId="77777777">
        <w:tblPrEx>
          <w:tblCellMar>
            <w:top w:w="0" w:type="dxa"/>
            <w:bottom w:w="0" w:type="dxa"/>
          </w:tblCellMar>
        </w:tblPrEx>
        <w:tc>
          <w:tcPr>
            <w:tcW w:w="56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29793A1B" w14:textId="77777777" w:rsidR="006A70CC" w:rsidRDefault="00000000">
            <w:r>
              <w:rPr>
                <w:color w:val="334155"/>
                <w:sz w:val="17"/>
                <w:szCs w:val="17"/>
              </w:rPr>
              <w:t>Financing aligned or condition precedent</w:t>
            </w:r>
          </w:p>
        </w:tc>
        <w:tc>
          <w:tcPr>
            <w:tcW w:w="4038"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2AB6DFD2" w14:textId="77777777" w:rsidR="006A70CC" w:rsidRDefault="00000000">
            <w:r>
              <w:rPr>
                <w:color w:val="334155"/>
                <w:sz w:val="17"/>
                <w:szCs w:val="17"/>
              </w:rPr>
              <w:t>Yes</w:t>
            </w:r>
          </w:p>
        </w:tc>
      </w:tr>
    </w:tbl>
    <w:p w14:paraId="7BB502FA" w14:textId="77777777" w:rsidR="006A70CC" w:rsidRDefault="00000000">
      <w:pPr>
        <w:pStyle w:val="Heading2"/>
      </w:pPr>
      <w:r>
        <w:t>14.3 Risk, legal, execution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00"/>
        <w:gridCol w:w="4038"/>
      </w:tblGrid>
      <w:tr w:rsidR="006A70CC" w14:paraId="506A056F" w14:textId="77777777">
        <w:tblPrEx>
          <w:tblCellMar>
            <w:top w:w="0" w:type="dxa"/>
            <w:bottom w:w="0" w:type="dxa"/>
          </w:tblCellMar>
        </w:tblPrEx>
        <w:trPr>
          <w:tblHeader/>
        </w:trPr>
        <w:tc>
          <w:tcPr>
            <w:tcW w:w="5600" w:type="dxa"/>
            <w:tcBorders>
              <w:top w:val="single" w:sz="4" w:space="0" w:color="CBD5E1"/>
              <w:left w:val="single" w:sz="4" w:space="0" w:color="CBD5E1"/>
              <w:bottom w:val="single" w:sz="4" w:space="0" w:color="CBD5E1"/>
              <w:right w:val="single" w:sz="4" w:space="0" w:color="CBD5E1"/>
            </w:tcBorders>
            <w:shd w:val="clear" w:color="auto" w:fill="1B365D"/>
            <w:tcMar>
              <w:top w:w="60" w:type="dxa"/>
              <w:left w:w="80" w:type="dxa"/>
              <w:bottom w:w="60" w:type="dxa"/>
              <w:right w:w="80" w:type="dxa"/>
            </w:tcMar>
            <w:vAlign w:val="center"/>
          </w:tcPr>
          <w:p w14:paraId="6A40215C" w14:textId="77777777" w:rsidR="006A70CC" w:rsidRDefault="00000000">
            <w:r>
              <w:rPr>
                <w:b/>
                <w:bCs/>
                <w:color w:val="FFFFFF"/>
                <w:sz w:val="17"/>
                <w:szCs w:val="17"/>
              </w:rPr>
              <w:t>Item</w:t>
            </w:r>
          </w:p>
        </w:tc>
        <w:tc>
          <w:tcPr>
            <w:tcW w:w="4038" w:type="dxa"/>
            <w:tcBorders>
              <w:top w:val="single" w:sz="4" w:space="0" w:color="CBD5E1"/>
              <w:left w:val="single" w:sz="4" w:space="0" w:color="CBD5E1"/>
              <w:bottom w:val="single" w:sz="4" w:space="0" w:color="CBD5E1"/>
              <w:right w:val="single" w:sz="4" w:space="0" w:color="CBD5E1"/>
            </w:tcBorders>
            <w:shd w:val="clear" w:color="auto" w:fill="1B365D"/>
            <w:tcMar>
              <w:top w:w="60" w:type="dxa"/>
              <w:left w:w="80" w:type="dxa"/>
              <w:bottom w:w="60" w:type="dxa"/>
              <w:right w:w="80" w:type="dxa"/>
            </w:tcMar>
            <w:vAlign w:val="center"/>
          </w:tcPr>
          <w:p w14:paraId="394CBFE2" w14:textId="77777777" w:rsidR="006A70CC" w:rsidRDefault="00000000">
            <w:r>
              <w:rPr>
                <w:b/>
                <w:bCs/>
                <w:color w:val="FFFFFF"/>
                <w:sz w:val="17"/>
                <w:szCs w:val="17"/>
              </w:rPr>
              <w:t>Expected status at FID</w:t>
            </w:r>
          </w:p>
        </w:tc>
      </w:tr>
      <w:tr w:rsidR="006A70CC" w14:paraId="1B61201E" w14:textId="77777777">
        <w:tblPrEx>
          <w:tblCellMar>
            <w:top w:w="0" w:type="dxa"/>
            <w:bottom w:w="0" w:type="dxa"/>
          </w:tblCellMar>
        </w:tblPrEx>
        <w:tc>
          <w:tcPr>
            <w:tcW w:w="56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0E5F6658" w14:textId="77777777" w:rsidR="006A70CC" w:rsidRDefault="00000000">
            <w:r>
              <w:rPr>
                <w:color w:val="334155"/>
                <w:sz w:val="17"/>
                <w:szCs w:val="17"/>
              </w:rPr>
              <w:t>Pre-mortem held and folded into the register</w:t>
            </w:r>
          </w:p>
        </w:tc>
        <w:tc>
          <w:tcPr>
            <w:tcW w:w="4038"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7CE5EA79" w14:textId="77777777" w:rsidR="006A70CC" w:rsidRDefault="00000000">
            <w:r>
              <w:rPr>
                <w:color w:val="334155"/>
                <w:sz w:val="17"/>
                <w:szCs w:val="17"/>
              </w:rPr>
              <w:t>Yes</w:t>
            </w:r>
          </w:p>
        </w:tc>
      </w:tr>
      <w:tr w:rsidR="006A70CC" w14:paraId="394B7758" w14:textId="77777777">
        <w:tblPrEx>
          <w:tblCellMar>
            <w:top w:w="0" w:type="dxa"/>
            <w:bottom w:w="0" w:type="dxa"/>
          </w:tblCellMar>
        </w:tblPrEx>
        <w:tc>
          <w:tcPr>
            <w:tcW w:w="56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7819D19F" w14:textId="77777777" w:rsidR="006A70CC" w:rsidRDefault="00000000">
            <w:r>
              <w:rPr>
                <w:color w:val="334155"/>
                <w:sz w:val="17"/>
                <w:szCs w:val="17"/>
              </w:rPr>
              <w:t>Outside view / reference class</w:t>
            </w:r>
          </w:p>
        </w:tc>
        <w:tc>
          <w:tcPr>
            <w:tcW w:w="4038"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118BBFD8" w14:textId="77777777" w:rsidR="006A70CC" w:rsidRDefault="00000000">
            <w:r>
              <w:rPr>
                <w:color w:val="334155"/>
                <w:sz w:val="17"/>
                <w:szCs w:val="17"/>
              </w:rPr>
              <w:t>Yes</w:t>
            </w:r>
          </w:p>
        </w:tc>
      </w:tr>
      <w:tr w:rsidR="006A70CC" w14:paraId="0D039AD2" w14:textId="77777777">
        <w:tblPrEx>
          <w:tblCellMar>
            <w:top w:w="0" w:type="dxa"/>
            <w:bottom w:w="0" w:type="dxa"/>
          </w:tblCellMar>
        </w:tblPrEx>
        <w:tc>
          <w:tcPr>
            <w:tcW w:w="56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1F2E3573" w14:textId="77777777" w:rsidR="006A70CC" w:rsidRDefault="00000000">
            <w:r>
              <w:rPr>
                <w:color w:val="334155"/>
                <w:sz w:val="17"/>
                <w:szCs w:val="17"/>
              </w:rPr>
              <w:t>Cold-eye review closed or actions dated</w:t>
            </w:r>
          </w:p>
        </w:tc>
        <w:tc>
          <w:tcPr>
            <w:tcW w:w="4038"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4AC54562" w14:textId="77777777" w:rsidR="006A70CC" w:rsidRDefault="00000000">
            <w:r>
              <w:rPr>
                <w:color w:val="334155"/>
                <w:sz w:val="17"/>
                <w:szCs w:val="17"/>
              </w:rPr>
              <w:t>Yes</w:t>
            </w:r>
          </w:p>
        </w:tc>
      </w:tr>
      <w:tr w:rsidR="006A70CC" w14:paraId="0F8818D3" w14:textId="77777777">
        <w:tblPrEx>
          <w:tblCellMar>
            <w:top w:w="0" w:type="dxa"/>
            <w:bottom w:w="0" w:type="dxa"/>
          </w:tblCellMar>
        </w:tblPrEx>
        <w:tc>
          <w:tcPr>
            <w:tcW w:w="56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5E571213" w14:textId="77777777" w:rsidR="006A70CC" w:rsidRDefault="00000000">
            <w:r>
              <w:rPr>
                <w:color w:val="334155"/>
                <w:sz w:val="17"/>
                <w:szCs w:val="17"/>
              </w:rPr>
              <w:t>Contract strategy and draft instruments</w:t>
            </w:r>
          </w:p>
        </w:tc>
        <w:tc>
          <w:tcPr>
            <w:tcW w:w="4038"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4D5D4E0D" w14:textId="77777777" w:rsidR="006A70CC" w:rsidRDefault="00000000">
            <w:r>
              <w:rPr>
                <w:color w:val="334155"/>
                <w:sz w:val="17"/>
                <w:szCs w:val="17"/>
              </w:rPr>
              <w:t>Yes</w:t>
            </w:r>
          </w:p>
        </w:tc>
      </w:tr>
      <w:tr w:rsidR="006A70CC" w14:paraId="0EC5AE22" w14:textId="77777777">
        <w:tblPrEx>
          <w:tblCellMar>
            <w:top w:w="0" w:type="dxa"/>
            <w:bottom w:w="0" w:type="dxa"/>
          </w:tblCellMar>
        </w:tblPrEx>
        <w:tc>
          <w:tcPr>
            <w:tcW w:w="56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732D10CB" w14:textId="77777777" w:rsidR="006A70CC" w:rsidRDefault="00000000">
            <w:r>
              <w:rPr>
                <w:color w:val="334155"/>
                <w:sz w:val="17"/>
                <w:szCs w:val="17"/>
              </w:rPr>
              <w:t>Permit critical path + drop-dead</w:t>
            </w:r>
          </w:p>
        </w:tc>
        <w:tc>
          <w:tcPr>
            <w:tcW w:w="4038"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22EA3A27" w14:textId="77777777" w:rsidR="006A70CC" w:rsidRDefault="00000000">
            <w:r>
              <w:rPr>
                <w:color w:val="334155"/>
                <w:sz w:val="17"/>
                <w:szCs w:val="17"/>
              </w:rPr>
              <w:t>Yes</w:t>
            </w:r>
          </w:p>
        </w:tc>
      </w:tr>
      <w:tr w:rsidR="006A70CC" w14:paraId="03C6246F" w14:textId="77777777">
        <w:tblPrEx>
          <w:tblCellMar>
            <w:top w:w="0" w:type="dxa"/>
            <w:bottom w:w="0" w:type="dxa"/>
          </w:tblCellMar>
        </w:tblPrEx>
        <w:tc>
          <w:tcPr>
            <w:tcW w:w="56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50B5F829" w14:textId="77777777" w:rsidR="006A70CC" w:rsidRDefault="00000000">
            <w:r>
              <w:rPr>
                <w:color w:val="334155"/>
                <w:sz w:val="17"/>
                <w:szCs w:val="17"/>
              </w:rPr>
              <w:t xml:space="preserve">HSE / ESG costed in </w:t>
            </w:r>
            <w:proofErr w:type="spellStart"/>
            <w:r>
              <w:rPr>
                <w:color w:val="334155"/>
                <w:sz w:val="17"/>
                <w:szCs w:val="17"/>
              </w:rPr>
              <w:t>opex</w:t>
            </w:r>
            <w:proofErr w:type="spellEnd"/>
          </w:p>
        </w:tc>
        <w:tc>
          <w:tcPr>
            <w:tcW w:w="4038"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6FFE245E" w14:textId="77777777" w:rsidR="006A70CC" w:rsidRDefault="00000000">
            <w:r>
              <w:rPr>
                <w:color w:val="334155"/>
                <w:sz w:val="17"/>
                <w:szCs w:val="17"/>
              </w:rPr>
              <w:t>Yes</w:t>
            </w:r>
          </w:p>
        </w:tc>
      </w:tr>
      <w:tr w:rsidR="006A70CC" w14:paraId="55C39F57" w14:textId="77777777">
        <w:tblPrEx>
          <w:tblCellMar>
            <w:top w:w="0" w:type="dxa"/>
            <w:bottom w:w="0" w:type="dxa"/>
          </w:tblCellMar>
        </w:tblPrEx>
        <w:tc>
          <w:tcPr>
            <w:tcW w:w="56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63707A95" w14:textId="77777777" w:rsidR="006A70CC" w:rsidRDefault="00000000">
            <w:r>
              <w:rPr>
                <w:color w:val="334155"/>
                <w:sz w:val="17"/>
                <w:szCs w:val="17"/>
              </w:rPr>
              <w:t>Owner team named for execution</w:t>
            </w:r>
          </w:p>
        </w:tc>
        <w:tc>
          <w:tcPr>
            <w:tcW w:w="4038"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6D1B922C" w14:textId="77777777" w:rsidR="006A70CC" w:rsidRDefault="00000000">
            <w:r>
              <w:rPr>
                <w:color w:val="334155"/>
                <w:sz w:val="17"/>
                <w:szCs w:val="17"/>
              </w:rPr>
              <w:t>Yes</w:t>
            </w:r>
          </w:p>
        </w:tc>
      </w:tr>
      <w:tr w:rsidR="006A70CC" w14:paraId="383768B9" w14:textId="77777777">
        <w:tblPrEx>
          <w:tblCellMar>
            <w:top w:w="0" w:type="dxa"/>
            <w:bottom w:w="0" w:type="dxa"/>
          </w:tblCellMar>
        </w:tblPrEx>
        <w:tc>
          <w:tcPr>
            <w:tcW w:w="56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4CC4A219" w14:textId="77777777" w:rsidR="006A70CC" w:rsidRDefault="00000000">
            <w:r>
              <w:rPr>
                <w:color w:val="334155"/>
                <w:sz w:val="17"/>
                <w:szCs w:val="17"/>
              </w:rPr>
              <w:t>Conditions precedent drafted</w:t>
            </w:r>
          </w:p>
        </w:tc>
        <w:tc>
          <w:tcPr>
            <w:tcW w:w="4038"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2E8B7C97" w14:textId="77777777" w:rsidR="006A70CC" w:rsidRDefault="00000000">
            <w:r>
              <w:rPr>
                <w:color w:val="334155"/>
                <w:sz w:val="17"/>
                <w:szCs w:val="17"/>
              </w:rPr>
              <w:t>Yes</w:t>
            </w:r>
          </w:p>
        </w:tc>
      </w:tr>
    </w:tbl>
    <w:p w14:paraId="40B96011" w14:textId="77777777" w:rsidR="006A70CC" w:rsidRDefault="00000000">
      <w:pPr>
        <w:pStyle w:val="Heading1"/>
        <w:pBdr>
          <w:bottom w:val="single" w:sz="12" w:space="4" w:color="1B365D"/>
        </w:pBdr>
      </w:pPr>
      <w:r>
        <w:t>15. After FID — what the brief must already specify</w:t>
      </w:r>
    </w:p>
    <w:p w14:paraId="22A7445E" w14:textId="77777777" w:rsidR="006A70CC" w:rsidRDefault="00000000">
      <w:pPr>
        <w:spacing w:after="120" w:line="276" w:lineRule="auto"/>
      </w:pPr>
      <w:r>
        <w:rPr>
          <w:color w:val="334155"/>
        </w:rPr>
        <w:t>FID is not the end of management; it is the start of control. The package must therefore contain the execution baseline:</w:t>
      </w:r>
    </w:p>
    <w:p w14:paraId="05F69BF9" w14:textId="77777777" w:rsidR="006A70CC" w:rsidRDefault="00000000">
      <w:pPr>
        <w:pStyle w:val="ListParagraph"/>
        <w:numPr>
          <w:ilvl w:val="0"/>
          <w:numId w:val="2"/>
        </w:numPr>
        <w:spacing w:after="60" w:line="260" w:lineRule="auto"/>
      </w:pPr>
      <w:r>
        <w:rPr>
          <w:color w:val="334155"/>
        </w:rPr>
        <w:t>Budget, schedule and cash-flow reference (against which EAC / ETC will be measured).</w:t>
      </w:r>
    </w:p>
    <w:p w14:paraId="60CA606B" w14:textId="77777777" w:rsidR="006A70CC" w:rsidRDefault="00000000">
      <w:pPr>
        <w:pStyle w:val="ListParagraph"/>
        <w:numPr>
          <w:ilvl w:val="0"/>
          <w:numId w:val="2"/>
        </w:numPr>
        <w:spacing w:after="60" w:line="260" w:lineRule="auto"/>
      </w:pPr>
      <w:r>
        <w:rPr>
          <w:color w:val="334155"/>
        </w:rPr>
        <w:t>Change control: who can move scope, at what threshold the committee is recalled.</w:t>
      </w:r>
    </w:p>
    <w:p w14:paraId="4EE1D538" w14:textId="77777777" w:rsidR="006A70CC" w:rsidRDefault="00000000">
      <w:pPr>
        <w:pStyle w:val="ListParagraph"/>
        <w:numPr>
          <w:ilvl w:val="0"/>
          <w:numId w:val="2"/>
        </w:numPr>
        <w:spacing w:after="60" w:line="260" w:lineRule="auto"/>
      </w:pPr>
      <w:r>
        <w:rPr>
          <w:color w:val="334155"/>
        </w:rPr>
        <w:t>Hold points (permits, tests, mechanical completion, handover).</w:t>
      </w:r>
    </w:p>
    <w:p w14:paraId="48BD91D8" w14:textId="77777777" w:rsidR="006A70CC" w:rsidRDefault="00000000">
      <w:pPr>
        <w:pStyle w:val="ListParagraph"/>
        <w:numPr>
          <w:ilvl w:val="0"/>
          <w:numId w:val="2"/>
        </w:numPr>
        <w:spacing w:after="60" w:line="260" w:lineRule="auto"/>
      </w:pPr>
      <w:r>
        <w:rPr>
          <w:color w:val="334155"/>
        </w:rPr>
        <w:t>KPIs: safety, cost, schedule, quality, stakeholders, cash forecasts.</w:t>
      </w:r>
    </w:p>
    <w:p w14:paraId="2B90F6C5" w14:textId="77777777" w:rsidR="006A70CC" w:rsidRDefault="00000000">
      <w:pPr>
        <w:pStyle w:val="ListParagraph"/>
        <w:numPr>
          <w:ilvl w:val="0"/>
          <w:numId w:val="2"/>
        </w:numPr>
        <w:spacing w:after="60" w:line="260" w:lineRule="auto"/>
      </w:pPr>
      <w:r>
        <w:rPr>
          <w:color w:val="334155"/>
        </w:rPr>
        <w:t>Lookback / benefits realisation: compare actual cash flows with FID promises (organisational calibration).</w:t>
      </w:r>
    </w:p>
    <w:p w14:paraId="73579B3C" w14:textId="77777777" w:rsidR="006A70CC" w:rsidRDefault="00000000">
      <w:pPr>
        <w:spacing w:after="120" w:line="276" w:lineRule="auto"/>
      </w:pPr>
      <w:r>
        <w:rPr>
          <w:color w:val="334155"/>
        </w:rPr>
        <w:t>This is where kaizen costing and TQM (LSE Module 6) take over: once the asset is live, value is defended in operations, not in another NPV slide.</w:t>
      </w:r>
    </w:p>
    <w:p w14:paraId="02EB4B6E" w14:textId="77777777" w:rsidR="006A70CC" w:rsidRDefault="00000000">
      <w:pPr>
        <w:pStyle w:val="Heading1"/>
        <w:pBdr>
          <w:bottom w:val="single" w:sz="12" w:space="4" w:color="1B365D"/>
        </w:pBdr>
      </w:pPr>
      <w:r>
        <w:t>16. CV, interview and sponsor one-pager language</w:t>
      </w:r>
    </w:p>
    <w:p w14:paraId="17B96D64" w14:textId="77777777" w:rsidR="006A70CC" w:rsidRDefault="00000000">
      <w:pPr>
        <w:spacing w:after="120" w:line="276" w:lineRule="auto"/>
      </w:pPr>
      <w:r>
        <w:rPr>
          <w:color w:val="334155"/>
        </w:rPr>
        <w:t>Pedagogical purpose of this brief: bed LSE vocabulary into a capex practice you can tell without empty jargon.</w:t>
      </w:r>
    </w:p>
    <w:p w14:paraId="3FA6522C" w14:textId="77777777" w:rsidR="006A70CC" w:rsidRDefault="00000000">
      <w:pPr>
        <w:pStyle w:val="Heading2"/>
      </w:pPr>
      <w:r>
        <w:t>16.1 CV line (adapt to sector)</w:t>
      </w:r>
    </w:p>
    <w:p w14:paraId="6AAB3F58" w14:textId="77777777" w:rsidR="006A70CC" w:rsidRDefault="00000000">
      <w:pPr>
        <w:spacing w:after="120" w:line="276" w:lineRule="auto"/>
      </w:pPr>
      <w:r>
        <w:rPr>
          <w:i/>
          <w:iCs/>
          <w:color w:val="334155"/>
        </w:rPr>
        <w:t>“Structured the path to FID through an Identify–Select–Define stage-gate: commitment-grade FEED (±10–15%), NPV/IRR business case vs WACC, sensitivities and pre-mortem to correct planning fallacy, Go / Recycle / Kill recommendation without sunk-cost bias. LSE MBA Essentials (investment appraisal, ratios, decision biases).”</w:t>
      </w:r>
    </w:p>
    <w:p w14:paraId="46A9F93F" w14:textId="77777777" w:rsidR="006A70CC" w:rsidRDefault="00000000">
      <w:pPr>
        <w:pStyle w:val="Heading2"/>
      </w:pPr>
      <w:r>
        <w:t>16.2 Interview answers — four frequent questions</w:t>
      </w:r>
    </w:p>
    <w:p w14:paraId="01CBBD68" w14:textId="77777777" w:rsidR="006A70CC" w:rsidRDefault="00000000">
      <w:pPr>
        <w:spacing w:after="80" w:line="276" w:lineRule="auto"/>
      </w:pPr>
      <w:r>
        <w:rPr>
          <w:color w:val="334155"/>
        </w:rPr>
        <w:t>“What is FID?” — The decision to commit execution capital, not a Gantt phase. Before: you buy information. After: you buy steel and concrete.</w:t>
      </w:r>
    </w:p>
    <w:p w14:paraId="002DF841" w14:textId="77777777" w:rsidR="006A70CC" w:rsidRDefault="00000000">
      <w:pPr>
        <w:spacing w:after="80" w:line="276" w:lineRule="auto"/>
      </w:pPr>
      <w:r>
        <w:rPr>
          <w:color w:val="334155"/>
        </w:rPr>
        <w:lastRenderedPageBreak/>
        <w:t>“NPV or IRR?” — NPV for wealth creation, IRR for the test versus opportunity cost. In conflict (different scale), NPV wins. Payback for liquidity only.</w:t>
      </w:r>
    </w:p>
    <w:p w14:paraId="7E99954D" w14:textId="77777777" w:rsidR="006A70CC" w:rsidRDefault="00000000">
      <w:pPr>
        <w:spacing w:after="80" w:line="276" w:lineRule="auto"/>
      </w:pPr>
      <w:r>
        <w:rPr>
          <w:color w:val="334155"/>
        </w:rPr>
        <w:t>“Why so many studies?” — Because 2% of capex spent well on FEL avoids 20% overrun. The outside view confirms this more reliably than team optimism.</w:t>
      </w:r>
    </w:p>
    <w:p w14:paraId="6501AAF1" w14:textId="77777777" w:rsidR="006A70CC" w:rsidRDefault="00000000">
      <w:pPr>
        <w:spacing w:after="80" w:line="276" w:lineRule="auto"/>
      </w:pPr>
      <w:r>
        <w:rPr>
          <w:color w:val="334155"/>
        </w:rPr>
        <w:t>“What do you do with studies already paid?” — Sunk cost. The committee judges the future. If remaining NPV is negative, you kill, even after a beautiful FEED.</w:t>
      </w:r>
    </w:p>
    <w:p w14:paraId="0C07D8DD" w14:textId="77777777" w:rsidR="006A70CC" w:rsidRDefault="00000000">
      <w:pPr>
        <w:pStyle w:val="Heading2"/>
      </w:pPr>
      <w:r>
        <w:t>16.3 Sponsor one-liner in session</w:t>
      </w:r>
    </w:p>
    <w:p w14:paraId="24174CAF" w14:textId="6807B0CC" w:rsidR="000834AD" w:rsidRDefault="00000000">
      <w:pPr>
        <w:spacing w:after="120" w:line="276" w:lineRule="auto"/>
        <w:rPr>
          <w:color w:val="334155"/>
        </w:rPr>
      </w:pPr>
      <w:r>
        <w:rPr>
          <w:color w:val="334155"/>
        </w:rPr>
        <w:t>“We request X of commitment. At hurdle r%, base NPV is Y, downside NPV is Z. The three risks that can zero it are A, B and C; they are carried by this contract, this permit, this reserve. Recommendation: Approve subject to conditions 1-2-3.”</w:t>
      </w:r>
    </w:p>
    <w:p w14:paraId="3C8C28D8" w14:textId="17E63E89" w:rsidR="006A70CC" w:rsidRPr="000834AD" w:rsidRDefault="000834AD" w:rsidP="000834AD">
      <w:pPr>
        <w:rPr>
          <w:color w:val="334155"/>
        </w:rPr>
      </w:pPr>
      <w:r>
        <w:rPr>
          <w:color w:val="334155"/>
        </w:rPr>
        <w:br w:type="page"/>
      </w:r>
    </w:p>
    <w:p w14:paraId="2CE5AA78" w14:textId="77777777" w:rsidR="006A70CC" w:rsidRDefault="00000000">
      <w:pPr>
        <w:pStyle w:val="Heading1"/>
        <w:pBdr>
          <w:bottom w:val="single" w:sz="12" w:space="4" w:color="1B365D"/>
        </w:pBdr>
      </w:pPr>
      <w:r>
        <w:lastRenderedPageBreak/>
        <w:t>17. Annexes</w:t>
      </w:r>
    </w:p>
    <w:p w14:paraId="01C98FB8" w14:textId="77777777" w:rsidR="006A70CC" w:rsidRDefault="00000000">
      <w:pPr>
        <w:pStyle w:val="Heading2"/>
      </w:pPr>
      <w:r>
        <w:t>A. Working glossary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7238"/>
      </w:tblGrid>
      <w:tr w:rsidR="006A70CC" w14:paraId="0E34BAE4" w14:textId="77777777">
        <w:tblPrEx>
          <w:tblCellMar>
            <w:top w:w="0" w:type="dxa"/>
            <w:bottom w:w="0" w:type="dxa"/>
          </w:tblCellMar>
        </w:tblPrEx>
        <w:trPr>
          <w:tblHeader/>
        </w:trPr>
        <w:tc>
          <w:tcPr>
            <w:tcW w:w="2400" w:type="dxa"/>
            <w:tcBorders>
              <w:top w:val="single" w:sz="4" w:space="0" w:color="CBD5E1"/>
              <w:left w:val="single" w:sz="4" w:space="0" w:color="CBD5E1"/>
              <w:bottom w:val="single" w:sz="4" w:space="0" w:color="CBD5E1"/>
              <w:right w:val="single" w:sz="4" w:space="0" w:color="CBD5E1"/>
            </w:tcBorders>
            <w:shd w:val="clear" w:color="auto" w:fill="1B365D"/>
            <w:tcMar>
              <w:top w:w="60" w:type="dxa"/>
              <w:left w:w="80" w:type="dxa"/>
              <w:bottom w:w="60" w:type="dxa"/>
              <w:right w:w="80" w:type="dxa"/>
            </w:tcMar>
            <w:vAlign w:val="center"/>
          </w:tcPr>
          <w:p w14:paraId="2C9B3C51" w14:textId="77777777" w:rsidR="006A70CC" w:rsidRDefault="00000000">
            <w:r>
              <w:rPr>
                <w:b/>
                <w:bCs/>
                <w:color w:val="FFFFFF"/>
                <w:sz w:val="17"/>
                <w:szCs w:val="17"/>
              </w:rPr>
              <w:t>Term</w:t>
            </w:r>
          </w:p>
        </w:tc>
        <w:tc>
          <w:tcPr>
            <w:tcW w:w="7238" w:type="dxa"/>
            <w:tcBorders>
              <w:top w:val="single" w:sz="4" w:space="0" w:color="CBD5E1"/>
              <w:left w:val="single" w:sz="4" w:space="0" w:color="CBD5E1"/>
              <w:bottom w:val="single" w:sz="4" w:space="0" w:color="CBD5E1"/>
              <w:right w:val="single" w:sz="4" w:space="0" w:color="CBD5E1"/>
            </w:tcBorders>
            <w:shd w:val="clear" w:color="auto" w:fill="1B365D"/>
            <w:tcMar>
              <w:top w:w="60" w:type="dxa"/>
              <w:left w:w="80" w:type="dxa"/>
              <w:bottom w:w="60" w:type="dxa"/>
              <w:right w:w="80" w:type="dxa"/>
            </w:tcMar>
            <w:vAlign w:val="center"/>
          </w:tcPr>
          <w:p w14:paraId="5A65CB4A" w14:textId="77777777" w:rsidR="006A70CC" w:rsidRDefault="00000000">
            <w:r>
              <w:rPr>
                <w:b/>
                <w:bCs/>
                <w:color w:val="FFFFFF"/>
                <w:sz w:val="17"/>
                <w:szCs w:val="17"/>
              </w:rPr>
              <w:t>Committee-useful meaning</w:t>
            </w:r>
          </w:p>
        </w:tc>
      </w:tr>
      <w:tr w:rsidR="006A70CC" w14:paraId="3362E06D" w14:textId="77777777">
        <w:tblPrEx>
          <w:tblCellMar>
            <w:top w:w="0" w:type="dxa"/>
            <w:bottom w:w="0" w:type="dxa"/>
          </w:tblCellMar>
        </w:tblPrEx>
        <w:tc>
          <w:tcPr>
            <w:tcW w:w="24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17F26A9D" w14:textId="77777777" w:rsidR="006A70CC" w:rsidRDefault="00000000">
            <w:r>
              <w:rPr>
                <w:color w:val="334155"/>
                <w:sz w:val="17"/>
                <w:szCs w:val="17"/>
              </w:rPr>
              <w:t>FID</w:t>
            </w:r>
          </w:p>
        </w:tc>
        <w:tc>
          <w:tcPr>
            <w:tcW w:w="7238"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49F0BBD6" w14:textId="77777777" w:rsidR="006A70CC" w:rsidRDefault="00000000">
            <w:r>
              <w:rPr>
                <w:color w:val="334155"/>
                <w:sz w:val="17"/>
                <w:szCs w:val="17"/>
              </w:rPr>
              <w:t>Irrevocable commitment of execution capital</w:t>
            </w:r>
          </w:p>
        </w:tc>
      </w:tr>
      <w:tr w:rsidR="006A70CC" w14:paraId="37EF5867" w14:textId="77777777">
        <w:tblPrEx>
          <w:tblCellMar>
            <w:top w:w="0" w:type="dxa"/>
            <w:bottom w:w="0" w:type="dxa"/>
          </w:tblCellMar>
        </w:tblPrEx>
        <w:tc>
          <w:tcPr>
            <w:tcW w:w="24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73488DB6" w14:textId="77777777" w:rsidR="006A70CC" w:rsidRDefault="00000000">
            <w:r>
              <w:rPr>
                <w:color w:val="334155"/>
                <w:sz w:val="17"/>
                <w:szCs w:val="17"/>
              </w:rPr>
              <w:t>FEED</w:t>
            </w:r>
          </w:p>
        </w:tc>
        <w:tc>
          <w:tcPr>
            <w:tcW w:w="7238"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41717056" w14:textId="77777777" w:rsidR="006A70CC" w:rsidRDefault="00000000">
            <w:r>
              <w:rPr>
                <w:color w:val="334155"/>
                <w:sz w:val="17"/>
                <w:szCs w:val="17"/>
              </w:rPr>
              <w:t>Engineering mature enough to estimate and contract</w:t>
            </w:r>
          </w:p>
        </w:tc>
      </w:tr>
      <w:tr w:rsidR="006A70CC" w14:paraId="511B4D1F" w14:textId="77777777">
        <w:tblPrEx>
          <w:tblCellMar>
            <w:top w:w="0" w:type="dxa"/>
            <w:bottom w:w="0" w:type="dxa"/>
          </w:tblCellMar>
        </w:tblPrEx>
        <w:tc>
          <w:tcPr>
            <w:tcW w:w="24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741F33FE" w14:textId="77777777" w:rsidR="006A70CC" w:rsidRDefault="00000000">
            <w:r>
              <w:rPr>
                <w:color w:val="334155"/>
                <w:sz w:val="17"/>
                <w:szCs w:val="17"/>
              </w:rPr>
              <w:t>FEL</w:t>
            </w:r>
          </w:p>
        </w:tc>
        <w:tc>
          <w:tcPr>
            <w:tcW w:w="7238"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6C1A8989" w14:textId="77777777" w:rsidR="006A70CC" w:rsidRDefault="00000000">
            <w:r>
              <w:rPr>
                <w:color w:val="334155"/>
                <w:sz w:val="17"/>
                <w:szCs w:val="17"/>
              </w:rPr>
              <w:t>Quality of front-end work (predicts overrun)</w:t>
            </w:r>
          </w:p>
        </w:tc>
      </w:tr>
      <w:tr w:rsidR="006A70CC" w14:paraId="51F24EC2" w14:textId="77777777">
        <w:tblPrEx>
          <w:tblCellMar>
            <w:top w:w="0" w:type="dxa"/>
            <w:bottom w:w="0" w:type="dxa"/>
          </w:tblCellMar>
        </w:tblPrEx>
        <w:tc>
          <w:tcPr>
            <w:tcW w:w="24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1F6A7DF3" w14:textId="77777777" w:rsidR="006A70CC" w:rsidRDefault="00000000">
            <w:r>
              <w:rPr>
                <w:color w:val="334155"/>
                <w:sz w:val="17"/>
                <w:szCs w:val="17"/>
              </w:rPr>
              <w:t>WACC / hurdle</w:t>
            </w:r>
          </w:p>
        </w:tc>
        <w:tc>
          <w:tcPr>
            <w:tcW w:w="7238"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536E8507" w14:textId="77777777" w:rsidR="006A70CC" w:rsidRDefault="00000000">
            <w:r>
              <w:rPr>
                <w:color w:val="334155"/>
                <w:sz w:val="17"/>
                <w:szCs w:val="17"/>
              </w:rPr>
              <w:t>Discount rate r / minimum required return</w:t>
            </w:r>
          </w:p>
        </w:tc>
      </w:tr>
      <w:tr w:rsidR="006A70CC" w14:paraId="6DF49FC6" w14:textId="77777777">
        <w:tblPrEx>
          <w:tblCellMar>
            <w:top w:w="0" w:type="dxa"/>
            <w:bottom w:w="0" w:type="dxa"/>
          </w:tblCellMar>
        </w:tblPrEx>
        <w:tc>
          <w:tcPr>
            <w:tcW w:w="24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57C453EC" w14:textId="77777777" w:rsidR="006A70CC" w:rsidRDefault="00000000">
            <w:r>
              <w:rPr>
                <w:color w:val="334155"/>
                <w:sz w:val="17"/>
                <w:szCs w:val="17"/>
              </w:rPr>
              <w:t>NPV</w:t>
            </w:r>
          </w:p>
        </w:tc>
        <w:tc>
          <w:tcPr>
            <w:tcW w:w="7238"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21D470B5" w14:textId="77777777" w:rsidR="006A70CC" w:rsidRDefault="00000000">
            <w:r>
              <w:rPr>
                <w:color w:val="334155"/>
                <w:sz w:val="17"/>
                <w:szCs w:val="17"/>
              </w:rPr>
              <w:t>Wealth created beyond the cost of capital</w:t>
            </w:r>
          </w:p>
        </w:tc>
      </w:tr>
      <w:tr w:rsidR="006A70CC" w14:paraId="58B120E0" w14:textId="77777777">
        <w:tblPrEx>
          <w:tblCellMar>
            <w:top w:w="0" w:type="dxa"/>
            <w:bottom w:w="0" w:type="dxa"/>
          </w:tblCellMar>
        </w:tblPrEx>
        <w:tc>
          <w:tcPr>
            <w:tcW w:w="24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5CA26ED5" w14:textId="77777777" w:rsidR="006A70CC" w:rsidRDefault="00000000">
            <w:r>
              <w:rPr>
                <w:color w:val="334155"/>
                <w:sz w:val="17"/>
                <w:szCs w:val="17"/>
              </w:rPr>
              <w:t>IRR</w:t>
            </w:r>
          </w:p>
        </w:tc>
        <w:tc>
          <w:tcPr>
            <w:tcW w:w="7238"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5E82BD9D" w14:textId="77777777" w:rsidR="006A70CC" w:rsidRDefault="00000000">
            <w:r>
              <w:rPr>
                <w:color w:val="334155"/>
                <w:sz w:val="17"/>
                <w:szCs w:val="17"/>
              </w:rPr>
              <w:t>Rate that sets NPV to zero</w:t>
            </w:r>
          </w:p>
        </w:tc>
      </w:tr>
      <w:tr w:rsidR="006A70CC" w14:paraId="797D9B39" w14:textId="77777777">
        <w:tblPrEx>
          <w:tblCellMar>
            <w:top w:w="0" w:type="dxa"/>
            <w:bottom w:w="0" w:type="dxa"/>
          </w:tblCellMar>
        </w:tblPrEx>
        <w:tc>
          <w:tcPr>
            <w:tcW w:w="24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1E472059" w14:textId="77777777" w:rsidR="006A70CC" w:rsidRDefault="00000000">
            <w:r>
              <w:rPr>
                <w:color w:val="334155"/>
                <w:sz w:val="17"/>
                <w:szCs w:val="17"/>
              </w:rPr>
              <w:t>Class 3 / 4 / 5</w:t>
            </w:r>
          </w:p>
        </w:tc>
        <w:tc>
          <w:tcPr>
            <w:tcW w:w="7238"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29B0AA2F" w14:textId="77777777" w:rsidR="006A70CC" w:rsidRDefault="00000000">
            <w:r>
              <w:rPr>
                <w:color w:val="334155"/>
                <w:sz w:val="17"/>
                <w:szCs w:val="17"/>
              </w:rPr>
              <w:t>Estimate uncertainty band</w:t>
            </w:r>
          </w:p>
        </w:tc>
      </w:tr>
      <w:tr w:rsidR="006A70CC" w14:paraId="68656E89" w14:textId="77777777">
        <w:tblPrEx>
          <w:tblCellMar>
            <w:top w:w="0" w:type="dxa"/>
            <w:bottom w:w="0" w:type="dxa"/>
          </w:tblCellMar>
        </w:tblPrEx>
        <w:tc>
          <w:tcPr>
            <w:tcW w:w="24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62B8C4DA" w14:textId="77777777" w:rsidR="006A70CC" w:rsidRDefault="00000000">
            <w:r>
              <w:rPr>
                <w:color w:val="334155"/>
                <w:sz w:val="17"/>
                <w:szCs w:val="17"/>
              </w:rPr>
              <w:t>Owner's costs</w:t>
            </w:r>
          </w:p>
        </w:tc>
        <w:tc>
          <w:tcPr>
            <w:tcW w:w="7238"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6564D5A8" w14:textId="77777777" w:rsidR="006A70CC" w:rsidRDefault="00000000">
            <w:r>
              <w:rPr>
                <w:color w:val="334155"/>
                <w:sz w:val="17"/>
                <w:szCs w:val="17"/>
              </w:rPr>
              <w:t>Owner costs outside the EPC contract</w:t>
            </w:r>
          </w:p>
        </w:tc>
      </w:tr>
      <w:tr w:rsidR="006A70CC" w14:paraId="4FA35D00" w14:textId="77777777">
        <w:tblPrEx>
          <w:tblCellMar>
            <w:top w:w="0" w:type="dxa"/>
            <w:bottom w:w="0" w:type="dxa"/>
          </w:tblCellMar>
        </w:tblPrEx>
        <w:tc>
          <w:tcPr>
            <w:tcW w:w="24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164E7C2D" w14:textId="77777777" w:rsidR="006A70CC" w:rsidRDefault="00000000">
            <w:r>
              <w:rPr>
                <w:color w:val="334155"/>
                <w:sz w:val="17"/>
                <w:szCs w:val="17"/>
              </w:rPr>
              <w:t>Contingency</w:t>
            </w:r>
          </w:p>
        </w:tc>
        <w:tc>
          <w:tcPr>
            <w:tcW w:w="7238"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5BFE8E3B" w14:textId="77777777" w:rsidR="006A70CC" w:rsidRDefault="00000000">
            <w:r>
              <w:rPr>
                <w:color w:val="334155"/>
                <w:sz w:val="17"/>
                <w:szCs w:val="17"/>
              </w:rPr>
              <w:t>Provision tied to estimated project risks</w:t>
            </w:r>
          </w:p>
        </w:tc>
      </w:tr>
      <w:tr w:rsidR="006A70CC" w14:paraId="37312AC5" w14:textId="77777777">
        <w:tblPrEx>
          <w:tblCellMar>
            <w:top w:w="0" w:type="dxa"/>
            <w:bottom w:w="0" w:type="dxa"/>
          </w:tblCellMar>
        </w:tblPrEx>
        <w:tc>
          <w:tcPr>
            <w:tcW w:w="24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4933B499" w14:textId="77777777" w:rsidR="006A70CC" w:rsidRDefault="00000000">
            <w:r>
              <w:rPr>
                <w:color w:val="334155"/>
                <w:sz w:val="17"/>
                <w:szCs w:val="17"/>
              </w:rPr>
              <w:t>Management reserve</w:t>
            </w:r>
          </w:p>
        </w:tc>
        <w:tc>
          <w:tcPr>
            <w:tcW w:w="7238"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5FA42520" w14:textId="77777777" w:rsidR="006A70CC" w:rsidRDefault="00000000">
            <w:r>
              <w:rPr>
                <w:color w:val="334155"/>
                <w:sz w:val="17"/>
                <w:szCs w:val="17"/>
              </w:rPr>
              <w:t>Leadership pot, outside the team baseline</w:t>
            </w:r>
          </w:p>
        </w:tc>
      </w:tr>
      <w:tr w:rsidR="006A70CC" w14:paraId="598D8ADF" w14:textId="77777777">
        <w:tblPrEx>
          <w:tblCellMar>
            <w:top w:w="0" w:type="dxa"/>
            <w:bottom w:w="0" w:type="dxa"/>
          </w:tblCellMar>
        </w:tblPrEx>
        <w:tc>
          <w:tcPr>
            <w:tcW w:w="24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7442A1DA" w14:textId="77777777" w:rsidR="006A70CC" w:rsidRDefault="00000000">
            <w:proofErr w:type="gramStart"/>
            <w:r>
              <w:rPr>
                <w:color w:val="334155"/>
                <w:sz w:val="17"/>
                <w:szCs w:val="17"/>
              </w:rPr>
              <w:t>Cold-eye</w:t>
            </w:r>
            <w:proofErr w:type="gramEnd"/>
          </w:p>
        </w:tc>
        <w:tc>
          <w:tcPr>
            <w:tcW w:w="7238"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3B4823AE" w14:textId="77777777" w:rsidR="006A70CC" w:rsidRDefault="00000000">
            <w:r>
              <w:rPr>
                <w:color w:val="334155"/>
                <w:sz w:val="17"/>
                <w:szCs w:val="17"/>
              </w:rPr>
              <w:t>Independent review before the gate</w:t>
            </w:r>
          </w:p>
        </w:tc>
      </w:tr>
      <w:tr w:rsidR="006A70CC" w14:paraId="3CA953BA" w14:textId="77777777">
        <w:tblPrEx>
          <w:tblCellMar>
            <w:top w:w="0" w:type="dxa"/>
            <w:bottom w:w="0" w:type="dxa"/>
          </w:tblCellMar>
        </w:tblPrEx>
        <w:tc>
          <w:tcPr>
            <w:tcW w:w="24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261583DA" w14:textId="77777777" w:rsidR="006A70CC" w:rsidRDefault="00000000">
            <w:r>
              <w:rPr>
                <w:color w:val="334155"/>
                <w:sz w:val="17"/>
                <w:szCs w:val="17"/>
              </w:rPr>
              <w:t>Lookback</w:t>
            </w:r>
          </w:p>
        </w:tc>
        <w:tc>
          <w:tcPr>
            <w:tcW w:w="7238"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226FF8D2" w14:textId="77777777" w:rsidR="006A70CC" w:rsidRDefault="00000000">
            <w:r>
              <w:rPr>
                <w:color w:val="334155"/>
                <w:sz w:val="17"/>
                <w:szCs w:val="17"/>
              </w:rPr>
              <w:t>FID promises versus actuals</w:t>
            </w:r>
          </w:p>
        </w:tc>
      </w:tr>
    </w:tbl>
    <w:p w14:paraId="46FDCC54" w14:textId="77777777" w:rsidR="006A70CC" w:rsidRDefault="00000000">
      <w:pPr>
        <w:pStyle w:val="Heading2"/>
      </w:pPr>
      <w:r>
        <w:t>B. Formula reminders</w:t>
      </w:r>
    </w:p>
    <w:p w14:paraId="1194907B" w14:textId="77777777" w:rsidR="006A70CC" w:rsidRDefault="00000000">
      <w:pPr>
        <w:spacing w:after="120" w:line="276" w:lineRule="auto"/>
      </w:pPr>
      <w:r>
        <w:rPr>
          <w:color w:val="334155"/>
        </w:rPr>
        <w:t>ARR = (average annual operating profit / average investment) × 100.</w:t>
      </w:r>
    </w:p>
    <w:p w14:paraId="0B77699F" w14:textId="77777777" w:rsidR="006A70CC" w:rsidRDefault="00000000">
      <w:pPr>
        <w:spacing w:after="120" w:line="276" w:lineRule="auto"/>
      </w:pPr>
      <w:r>
        <w:rPr>
          <w:color w:val="334155"/>
        </w:rPr>
        <w:t>Average investment = (initial cost + disposal value) / 2.</w:t>
      </w:r>
    </w:p>
    <w:p w14:paraId="7F1BAF4E" w14:textId="77777777" w:rsidR="006A70CC" w:rsidRDefault="00000000">
      <w:pPr>
        <w:spacing w:after="120" w:line="276" w:lineRule="auto"/>
      </w:pPr>
      <w:r>
        <w:rPr>
          <w:color w:val="334155"/>
        </w:rPr>
        <w:t>Fractional payback = year before crossing + (amount still to recover / flow in the crossing year).</w:t>
      </w:r>
    </w:p>
    <w:p w14:paraId="64214C87" w14:textId="77777777" w:rsidR="006A70CC" w:rsidRDefault="00000000">
      <w:pPr>
        <w:spacing w:after="120" w:line="276" w:lineRule="auto"/>
      </w:pPr>
      <w:r>
        <w:rPr>
          <w:color w:val="334155"/>
        </w:rPr>
        <w:t>Discount factor = 1 / (1+</w:t>
      </w:r>
      <w:proofErr w:type="gramStart"/>
      <w:r>
        <w:rPr>
          <w:color w:val="334155"/>
        </w:rPr>
        <w:t>r)^</w:t>
      </w:r>
      <w:proofErr w:type="gramEnd"/>
      <w:r>
        <w:rPr>
          <w:color w:val="334155"/>
        </w:rPr>
        <w:t>n.</w:t>
      </w:r>
    </w:p>
    <w:p w14:paraId="6C81C75C" w14:textId="77777777" w:rsidR="006A70CC" w:rsidRDefault="00000000">
      <w:pPr>
        <w:spacing w:after="120" w:line="276" w:lineRule="auto"/>
      </w:pPr>
      <w:proofErr w:type="gramStart"/>
      <w:r>
        <w:rPr>
          <w:color w:val="334155"/>
        </w:rPr>
        <w:t>PV(</w:t>
      </w:r>
      <w:proofErr w:type="gramEnd"/>
      <w:r>
        <w:rPr>
          <w:color w:val="334155"/>
        </w:rPr>
        <w:t>flow) = flow × factor.  NPV = sum of PVs, including I0.</w:t>
      </w:r>
    </w:p>
    <w:p w14:paraId="49C9F8FA" w14:textId="77777777" w:rsidR="006A70CC" w:rsidRDefault="00000000">
      <w:pPr>
        <w:spacing w:after="120" w:line="276" w:lineRule="auto"/>
      </w:pPr>
      <w:r>
        <w:rPr>
          <w:color w:val="334155"/>
        </w:rPr>
        <w:t>LSE acceptance rule: NPV &gt; 0; IRR &gt; alternative rate; payback &lt; management maximum.</w:t>
      </w:r>
    </w:p>
    <w:p w14:paraId="64615F84" w14:textId="77777777" w:rsidR="006A70CC" w:rsidRDefault="00000000">
      <w:pPr>
        <w:pStyle w:val="Heading2"/>
      </w:pPr>
      <w:r>
        <w:t>C. Teaching sources used</w:t>
      </w:r>
    </w:p>
    <w:p w14:paraId="069A3CD9" w14:textId="77777777" w:rsidR="006A70CC" w:rsidRDefault="00000000">
      <w:pPr>
        <w:spacing w:after="120" w:line="276" w:lineRule="auto"/>
      </w:pPr>
      <w:r>
        <w:rPr>
          <w:color w:val="334155"/>
        </w:rPr>
        <w:t>LSE MBA Essentials — Module 6 Unit 4 Investment appraisal techniques (</w:t>
      </w:r>
      <w:proofErr w:type="spellStart"/>
      <w:r>
        <w:rPr>
          <w:color w:val="334155"/>
        </w:rPr>
        <w:t>Atrill</w:t>
      </w:r>
      <w:proofErr w:type="spellEnd"/>
      <w:r>
        <w:rPr>
          <w:color w:val="334155"/>
        </w:rPr>
        <w:t xml:space="preserve"> &amp; McLaney, 2015; Weetman, 2015).</w:t>
      </w:r>
    </w:p>
    <w:p w14:paraId="661D07E7" w14:textId="77777777" w:rsidR="006A70CC" w:rsidRDefault="00000000">
      <w:pPr>
        <w:spacing w:after="120" w:line="276" w:lineRule="auto"/>
      </w:pPr>
      <w:r>
        <w:rPr>
          <w:color w:val="334155"/>
        </w:rPr>
        <w:t>LSE MBA Essentials — Module 6 costing (</w:t>
      </w:r>
      <w:proofErr w:type="gramStart"/>
      <w:r>
        <w:rPr>
          <w:color w:val="334155"/>
        </w:rPr>
        <w:t>life-cycle</w:t>
      </w:r>
      <w:proofErr w:type="gramEnd"/>
      <w:r>
        <w:rPr>
          <w:color w:val="334155"/>
        </w:rPr>
        <w:t>, target costing, kaizen, TQM, benchmarking).</w:t>
      </w:r>
    </w:p>
    <w:p w14:paraId="02C5162B" w14:textId="77777777" w:rsidR="006A70CC" w:rsidRDefault="00000000">
      <w:pPr>
        <w:spacing w:after="120" w:line="276" w:lineRule="auto"/>
      </w:pPr>
      <w:r>
        <w:rPr>
          <w:color w:val="334155"/>
        </w:rPr>
        <w:t>LSE MBA Essentials — Modules 5 and 7, financial statements and ratios (liquidity, efficiency, profitability, gearing).</w:t>
      </w:r>
    </w:p>
    <w:p w14:paraId="5DF01CA7" w14:textId="77777777" w:rsidR="006A70CC" w:rsidRDefault="00000000">
      <w:pPr>
        <w:spacing w:after="120" w:line="276" w:lineRule="auto"/>
      </w:pPr>
      <w:r>
        <w:rPr>
          <w:color w:val="334155"/>
        </w:rPr>
        <w:t>LSE MBA Essentials — Module 8, biases and debiasing (Kahneman; Lovallo &amp; Kahneman 2003; Klein 2007 pre-mortem; Larrick 2004).</w:t>
      </w:r>
    </w:p>
    <w:p w14:paraId="5F8812E0" w14:textId="77777777" w:rsidR="006A70CC" w:rsidRDefault="00000000">
      <w:pPr>
        <w:spacing w:after="120" w:line="276" w:lineRule="auto"/>
      </w:pPr>
      <w:r>
        <w:rPr>
          <w:color w:val="334155"/>
        </w:rPr>
        <w:t>Capex practice: stage-gate, FEL / IPA, AACE estimate classes, investment-committee governance.</w:t>
      </w:r>
    </w:p>
    <w:p w14:paraId="024914EA" w14:textId="77777777" w:rsidR="006A70CC" w:rsidRDefault="00000000">
      <w:pPr>
        <w:pStyle w:val="Heading2"/>
      </w:pPr>
      <w:r>
        <w:t>D. Project instantiation (to complete)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6038"/>
      </w:tblGrid>
      <w:tr w:rsidR="006A70CC" w14:paraId="049A9A74" w14:textId="77777777">
        <w:tblPrEx>
          <w:tblCellMar>
            <w:top w:w="0" w:type="dxa"/>
            <w:bottom w:w="0" w:type="dxa"/>
          </w:tblCellMar>
        </w:tblPrEx>
        <w:trPr>
          <w:tblHeader/>
        </w:trPr>
        <w:tc>
          <w:tcPr>
            <w:tcW w:w="3600" w:type="dxa"/>
            <w:tcBorders>
              <w:top w:val="single" w:sz="4" w:space="0" w:color="CBD5E1"/>
              <w:left w:val="single" w:sz="4" w:space="0" w:color="CBD5E1"/>
              <w:bottom w:val="single" w:sz="4" w:space="0" w:color="CBD5E1"/>
              <w:right w:val="single" w:sz="4" w:space="0" w:color="CBD5E1"/>
            </w:tcBorders>
            <w:shd w:val="clear" w:color="auto" w:fill="1B365D"/>
            <w:tcMar>
              <w:top w:w="60" w:type="dxa"/>
              <w:left w:w="80" w:type="dxa"/>
              <w:bottom w:w="60" w:type="dxa"/>
              <w:right w:w="80" w:type="dxa"/>
            </w:tcMar>
            <w:vAlign w:val="center"/>
          </w:tcPr>
          <w:p w14:paraId="48B3F9F2" w14:textId="77777777" w:rsidR="006A70CC" w:rsidRDefault="00000000">
            <w:r>
              <w:rPr>
                <w:b/>
                <w:bCs/>
                <w:color w:val="FFFFFF"/>
                <w:sz w:val="17"/>
                <w:szCs w:val="17"/>
              </w:rPr>
              <w:t>Field</w:t>
            </w:r>
          </w:p>
        </w:tc>
        <w:tc>
          <w:tcPr>
            <w:tcW w:w="6038" w:type="dxa"/>
            <w:tcBorders>
              <w:top w:val="single" w:sz="4" w:space="0" w:color="CBD5E1"/>
              <w:left w:val="single" w:sz="4" w:space="0" w:color="CBD5E1"/>
              <w:bottom w:val="single" w:sz="4" w:space="0" w:color="CBD5E1"/>
              <w:right w:val="single" w:sz="4" w:space="0" w:color="CBD5E1"/>
            </w:tcBorders>
            <w:shd w:val="clear" w:color="auto" w:fill="1B365D"/>
            <w:tcMar>
              <w:top w:w="60" w:type="dxa"/>
              <w:left w:w="80" w:type="dxa"/>
              <w:bottom w:w="60" w:type="dxa"/>
              <w:right w:w="80" w:type="dxa"/>
            </w:tcMar>
            <w:vAlign w:val="center"/>
          </w:tcPr>
          <w:p w14:paraId="3B88A7D0" w14:textId="77777777" w:rsidR="006A70CC" w:rsidRDefault="00000000">
            <w:r>
              <w:rPr>
                <w:b/>
                <w:bCs/>
                <w:color w:val="FFFFFF"/>
                <w:sz w:val="17"/>
                <w:szCs w:val="17"/>
              </w:rPr>
              <w:t>Project value</w:t>
            </w:r>
          </w:p>
        </w:tc>
      </w:tr>
      <w:tr w:rsidR="006A70CC" w14:paraId="39905A34" w14:textId="77777777">
        <w:tblPrEx>
          <w:tblCellMar>
            <w:top w:w="0" w:type="dxa"/>
            <w:bottom w:w="0" w:type="dxa"/>
          </w:tblCellMar>
        </w:tblPrEx>
        <w:tc>
          <w:tcPr>
            <w:tcW w:w="36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3A23F6FC" w14:textId="77777777" w:rsidR="006A70CC" w:rsidRDefault="00000000">
            <w:r>
              <w:rPr>
                <w:color w:val="334155"/>
                <w:sz w:val="17"/>
                <w:szCs w:val="17"/>
              </w:rPr>
              <w:t>Project / asset name</w:t>
            </w:r>
          </w:p>
        </w:tc>
        <w:tc>
          <w:tcPr>
            <w:tcW w:w="6038"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10C6E6C9" w14:textId="77777777" w:rsidR="006A70CC" w:rsidRDefault="006A70CC"/>
        </w:tc>
      </w:tr>
      <w:tr w:rsidR="006A70CC" w14:paraId="29050520" w14:textId="77777777">
        <w:tblPrEx>
          <w:tblCellMar>
            <w:top w:w="0" w:type="dxa"/>
            <w:bottom w:w="0" w:type="dxa"/>
          </w:tblCellMar>
        </w:tblPrEx>
        <w:tc>
          <w:tcPr>
            <w:tcW w:w="36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71E144AB" w14:textId="77777777" w:rsidR="006A70CC" w:rsidRDefault="00000000">
            <w:r>
              <w:rPr>
                <w:color w:val="334155"/>
                <w:sz w:val="17"/>
                <w:szCs w:val="17"/>
              </w:rPr>
              <w:t>Sponsor / Project Director</w:t>
            </w:r>
          </w:p>
        </w:tc>
        <w:tc>
          <w:tcPr>
            <w:tcW w:w="6038"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6A1454C5" w14:textId="77777777" w:rsidR="006A70CC" w:rsidRDefault="006A70CC"/>
        </w:tc>
      </w:tr>
      <w:tr w:rsidR="006A70CC" w14:paraId="0FCBE7E1" w14:textId="77777777">
        <w:tblPrEx>
          <w:tblCellMar>
            <w:top w:w="0" w:type="dxa"/>
            <w:bottom w:w="0" w:type="dxa"/>
          </w:tblCellMar>
        </w:tblPrEx>
        <w:tc>
          <w:tcPr>
            <w:tcW w:w="36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40A26442" w14:textId="77777777" w:rsidR="006A70CC" w:rsidRDefault="00000000">
            <w:r>
              <w:rPr>
                <w:color w:val="334155"/>
                <w:sz w:val="17"/>
                <w:szCs w:val="17"/>
              </w:rPr>
              <w:t>Current gate</w:t>
            </w:r>
          </w:p>
        </w:tc>
        <w:tc>
          <w:tcPr>
            <w:tcW w:w="6038"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30ED0454" w14:textId="77777777" w:rsidR="006A70CC" w:rsidRDefault="006A70CC"/>
        </w:tc>
      </w:tr>
      <w:tr w:rsidR="006A70CC" w14:paraId="059382E9" w14:textId="77777777">
        <w:tblPrEx>
          <w:tblCellMar>
            <w:top w:w="0" w:type="dxa"/>
            <w:bottom w:w="0" w:type="dxa"/>
          </w:tblCellMar>
        </w:tblPrEx>
        <w:tc>
          <w:tcPr>
            <w:tcW w:w="36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1C8B62A8" w14:textId="77777777" w:rsidR="006A70CC" w:rsidRDefault="00000000">
            <w:r>
              <w:rPr>
                <w:color w:val="334155"/>
                <w:sz w:val="17"/>
                <w:szCs w:val="17"/>
              </w:rPr>
              <w:lastRenderedPageBreak/>
              <w:t>Capex P50 / P80</w:t>
            </w:r>
          </w:p>
        </w:tc>
        <w:tc>
          <w:tcPr>
            <w:tcW w:w="6038"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2A547830" w14:textId="77777777" w:rsidR="006A70CC" w:rsidRDefault="006A70CC"/>
        </w:tc>
      </w:tr>
      <w:tr w:rsidR="006A70CC" w14:paraId="205C8C65" w14:textId="77777777">
        <w:tblPrEx>
          <w:tblCellMar>
            <w:top w:w="0" w:type="dxa"/>
            <w:bottom w:w="0" w:type="dxa"/>
          </w:tblCellMar>
        </w:tblPrEx>
        <w:tc>
          <w:tcPr>
            <w:tcW w:w="36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0711E456" w14:textId="77777777" w:rsidR="006A70CC" w:rsidRDefault="00000000">
            <w:r>
              <w:rPr>
                <w:color w:val="334155"/>
                <w:sz w:val="17"/>
                <w:szCs w:val="17"/>
              </w:rPr>
              <w:t>Rate r / hurdle</w:t>
            </w:r>
          </w:p>
        </w:tc>
        <w:tc>
          <w:tcPr>
            <w:tcW w:w="6038"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547179DA" w14:textId="77777777" w:rsidR="006A70CC" w:rsidRDefault="006A70CC"/>
        </w:tc>
      </w:tr>
      <w:tr w:rsidR="006A70CC" w14:paraId="60C66774" w14:textId="77777777">
        <w:tblPrEx>
          <w:tblCellMar>
            <w:top w:w="0" w:type="dxa"/>
            <w:bottom w:w="0" w:type="dxa"/>
          </w:tblCellMar>
        </w:tblPrEx>
        <w:tc>
          <w:tcPr>
            <w:tcW w:w="36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1982BD42" w14:textId="77777777" w:rsidR="006A70CC" w:rsidRDefault="00000000">
            <w:r>
              <w:rPr>
                <w:color w:val="334155"/>
                <w:sz w:val="17"/>
                <w:szCs w:val="17"/>
              </w:rPr>
              <w:t>NPV base / downside</w:t>
            </w:r>
          </w:p>
        </w:tc>
        <w:tc>
          <w:tcPr>
            <w:tcW w:w="6038"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47A35A27" w14:textId="77777777" w:rsidR="006A70CC" w:rsidRDefault="006A70CC"/>
        </w:tc>
      </w:tr>
      <w:tr w:rsidR="006A70CC" w14:paraId="558B28F7" w14:textId="77777777">
        <w:tblPrEx>
          <w:tblCellMar>
            <w:top w:w="0" w:type="dxa"/>
            <w:bottom w:w="0" w:type="dxa"/>
          </w:tblCellMar>
        </w:tblPrEx>
        <w:tc>
          <w:tcPr>
            <w:tcW w:w="36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367BAC73" w14:textId="77777777" w:rsidR="006A70CC" w:rsidRDefault="00000000">
            <w:r>
              <w:rPr>
                <w:color w:val="334155"/>
                <w:sz w:val="17"/>
                <w:szCs w:val="17"/>
              </w:rPr>
              <w:t>IRR base</w:t>
            </w:r>
          </w:p>
        </w:tc>
        <w:tc>
          <w:tcPr>
            <w:tcW w:w="6038"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4193936A" w14:textId="77777777" w:rsidR="006A70CC" w:rsidRDefault="006A70CC"/>
        </w:tc>
      </w:tr>
      <w:tr w:rsidR="006A70CC" w14:paraId="7B38F38B" w14:textId="77777777">
        <w:tblPrEx>
          <w:tblCellMar>
            <w:top w:w="0" w:type="dxa"/>
            <w:bottom w:w="0" w:type="dxa"/>
          </w:tblCellMar>
        </w:tblPrEx>
        <w:tc>
          <w:tcPr>
            <w:tcW w:w="36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56AF754E" w14:textId="77777777" w:rsidR="006A70CC" w:rsidRDefault="00000000">
            <w:r>
              <w:rPr>
                <w:color w:val="334155"/>
                <w:sz w:val="17"/>
                <w:szCs w:val="17"/>
              </w:rPr>
              <w:t>Payback</w:t>
            </w:r>
          </w:p>
        </w:tc>
        <w:tc>
          <w:tcPr>
            <w:tcW w:w="6038"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2434088E" w14:textId="77777777" w:rsidR="006A70CC" w:rsidRDefault="006A70CC"/>
        </w:tc>
      </w:tr>
      <w:tr w:rsidR="006A70CC" w14:paraId="6B731785" w14:textId="77777777">
        <w:tblPrEx>
          <w:tblCellMar>
            <w:top w:w="0" w:type="dxa"/>
            <w:bottom w:w="0" w:type="dxa"/>
          </w:tblCellMar>
        </w:tblPrEx>
        <w:tc>
          <w:tcPr>
            <w:tcW w:w="36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52E41208" w14:textId="77777777" w:rsidR="006A70CC" w:rsidRDefault="00000000">
            <w:r>
              <w:rPr>
                <w:color w:val="334155"/>
                <w:sz w:val="17"/>
                <w:szCs w:val="17"/>
              </w:rPr>
              <w:t>Target FID date</w:t>
            </w:r>
          </w:p>
        </w:tc>
        <w:tc>
          <w:tcPr>
            <w:tcW w:w="6038"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1294A463" w14:textId="77777777" w:rsidR="006A70CC" w:rsidRDefault="006A70CC"/>
        </w:tc>
      </w:tr>
      <w:tr w:rsidR="006A70CC" w14:paraId="6A0636A8" w14:textId="77777777">
        <w:tblPrEx>
          <w:tblCellMar>
            <w:top w:w="0" w:type="dxa"/>
            <w:bottom w:w="0" w:type="dxa"/>
          </w:tblCellMar>
        </w:tblPrEx>
        <w:tc>
          <w:tcPr>
            <w:tcW w:w="3600"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395A33F1" w14:textId="77777777" w:rsidR="006A70CC" w:rsidRDefault="00000000">
            <w:r>
              <w:rPr>
                <w:color w:val="334155"/>
                <w:sz w:val="17"/>
                <w:szCs w:val="17"/>
              </w:rPr>
              <w:t>Conditions precedent</w:t>
            </w:r>
          </w:p>
        </w:tc>
        <w:tc>
          <w:tcPr>
            <w:tcW w:w="6038" w:type="dxa"/>
            <w:tcBorders>
              <w:top w:val="single" w:sz="4" w:space="0" w:color="CBD5E1"/>
              <w:left w:val="single" w:sz="4" w:space="0" w:color="CBD5E1"/>
              <w:bottom w:val="single" w:sz="4" w:space="0" w:color="CBD5E1"/>
              <w:right w:val="single" w:sz="4" w:space="0" w:color="CBD5E1"/>
            </w:tcBorders>
            <w:shd w:val="clear" w:color="auto" w:fill="EEF2F7"/>
            <w:tcMar>
              <w:top w:w="60" w:type="dxa"/>
              <w:left w:w="80" w:type="dxa"/>
              <w:bottom w:w="60" w:type="dxa"/>
              <w:right w:w="80" w:type="dxa"/>
            </w:tcMar>
            <w:vAlign w:val="center"/>
          </w:tcPr>
          <w:p w14:paraId="54876A4F" w14:textId="77777777" w:rsidR="006A70CC" w:rsidRDefault="006A70CC"/>
        </w:tc>
      </w:tr>
      <w:tr w:rsidR="006A70CC" w14:paraId="14EB4373" w14:textId="77777777">
        <w:tblPrEx>
          <w:tblCellMar>
            <w:top w:w="0" w:type="dxa"/>
            <w:bottom w:w="0" w:type="dxa"/>
          </w:tblCellMar>
        </w:tblPrEx>
        <w:tc>
          <w:tcPr>
            <w:tcW w:w="3600"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0B6BC2B2" w14:textId="77777777" w:rsidR="006A70CC" w:rsidRDefault="00000000">
            <w:r>
              <w:rPr>
                <w:color w:val="334155"/>
                <w:sz w:val="17"/>
                <w:szCs w:val="17"/>
              </w:rPr>
              <w:t>Recommendation</w:t>
            </w:r>
          </w:p>
        </w:tc>
        <w:tc>
          <w:tcPr>
            <w:tcW w:w="6038" w:type="dxa"/>
            <w:tcBorders>
              <w:top w:val="single" w:sz="4" w:space="0" w:color="CBD5E1"/>
              <w:left w:val="single" w:sz="4" w:space="0" w:color="CBD5E1"/>
              <w:bottom w:val="single" w:sz="4" w:space="0" w:color="CBD5E1"/>
              <w:right w:val="single" w:sz="4" w:space="0" w:color="CBD5E1"/>
            </w:tcBorders>
            <w:shd w:val="clear" w:color="auto" w:fill="FFFFFF"/>
            <w:tcMar>
              <w:top w:w="60" w:type="dxa"/>
              <w:left w:w="80" w:type="dxa"/>
              <w:bottom w:w="60" w:type="dxa"/>
              <w:right w:w="80" w:type="dxa"/>
            </w:tcMar>
            <w:vAlign w:val="center"/>
          </w:tcPr>
          <w:p w14:paraId="4018DD36" w14:textId="77777777" w:rsidR="006A70CC" w:rsidRDefault="00000000">
            <w:r>
              <w:rPr>
                <w:color w:val="334155"/>
                <w:sz w:val="17"/>
                <w:szCs w:val="17"/>
              </w:rPr>
              <w:t>Approve / Defer / Reject</w:t>
            </w:r>
          </w:p>
        </w:tc>
      </w:tr>
    </w:tbl>
    <w:p w14:paraId="20875CA9" w14:textId="77777777" w:rsidR="006A70CC" w:rsidRDefault="00000000">
      <w:pPr>
        <w:spacing w:before="40" w:after="200" w:line="276" w:lineRule="auto"/>
      </w:pPr>
      <w:r>
        <w:rPr>
          <w:i/>
          <w:iCs/>
          <w:color w:val="64748B"/>
          <w:sz w:val="16"/>
          <w:szCs w:val="16"/>
        </w:rPr>
        <w:t>Table 6 — Page to duplicate at the front of each live project package.</w:t>
      </w:r>
    </w:p>
    <w:p w14:paraId="03FA769F" w14:textId="77777777" w:rsidR="006A70CC" w:rsidRDefault="00000000">
      <w:pPr>
        <w:spacing w:after="120" w:line="276" w:lineRule="auto"/>
      </w:pPr>
      <w:r>
        <w:rPr>
          <w:color w:val="334155"/>
        </w:rPr>
        <w:t xml:space="preserve"> </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6A70CC" w14:paraId="5A845C18" w14:textId="77777777">
        <w:tblPrEx>
          <w:tblCellMar>
            <w:top w:w="0" w:type="dxa"/>
            <w:bottom w:w="0" w:type="dxa"/>
          </w:tblCellMar>
        </w:tblPrEx>
        <w:tc>
          <w:tcPr>
            <w:tcW w:w="9638" w:type="dxa"/>
            <w:tcBorders>
              <w:top w:val="single" w:sz="16" w:space="0" w:color="B91C1C"/>
              <w:left w:val="single" w:sz="4" w:space="0" w:color="CBD5E1"/>
              <w:bottom w:val="single" w:sz="4" w:space="0" w:color="CBD5E1"/>
              <w:right w:val="single" w:sz="4" w:space="0" w:color="CBD5E1"/>
            </w:tcBorders>
            <w:shd w:val="clear" w:color="auto" w:fill="FEF2F2"/>
            <w:tcMar>
              <w:top w:w="100" w:type="dxa"/>
              <w:left w:w="140" w:type="dxa"/>
              <w:bottom w:w="100" w:type="dxa"/>
              <w:right w:w="140" w:type="dxa"/>
            </w:tcMar>
          </w:tcPr>
          <w:p w14:paraId="3AA56038" w14:textId="77777777" w:rsidR="006A70CC" w:rsidRDefault="00000000">
            <w:pPr>
              <w:spacing w:after="60" w:line="276" w:lineRule="auto"/>
            </w:pPr>
            <w:r>
              <w:rPr>
                <w:b/>
                <w:bCs/>
                <w:color w:val="B91C1C"/>
                <w:sz w:val="20"/>
                <w:szCs w:val="20"/>
              </w:rPr>
              <w:t>Close — what to remember</w:t>
            </w:r>
          </w:p>
          <w:p w14:paraId="75690F7E" w14:textId="77777777" w:rsidR="006A70CC" w:rsidRDefault="00000000">
            <w:pPr>
              <w:spacing w:after="40" w:line="276" w:lineRule="auto"/>
            </w:pPr>
            <w:r>
              <w:rPr>
                <w:color w:val="334155"/>
                <w:sz w:val="20"/>
                <w:szCs w:val="20"/>
              </w:rPr>
              <w:t>FID is an allocation of capital under uncertainty. Stage-gate buys information until uncertainty is affordable. LSE supplies the judge (NPV on cash flows, IRR versus opportunity cost, balance-sheet ratios) and the mental discipline (no sunk-cost, outside view, pre-mortem). The rest is execution: frozen scope, honest estimate, contract that carries risk, a committee willing to kill.</w:t>
            </w:r>
          </w:p>
        </w:tc>
      </w:tr>
    </w:tbl>
    <w:p w14:paraId="22CDE035" w14:textId="77777777" w:rsidR="006A70CC" w:rsidRDefault="00000000">
      <w:pPr>
        <w:spacing w:before="200" w:after="120" w:line="276" w:lineRule="auto"/>
      </w:pPr>
      <w:r>
        <w:rPr>
          <w:i/>
          <w:iCs/>
          <w:color w:val="64748B"/>
          <w:sz w:val="18"/>
          <w:szCs w:val="18"/>
        </w:rPr>
        <w:t>Prepared to bed capex practice in the LSE MBA Essentials frame of Francois Philippe Amour Dorleans. Instantiate project by project; do not present this as a signed FID.</w:t>
      </w:r>
    </w:p>
    <w:sectPr w:rsidR="006A70CC" w:rsidSect="000834AD">
      <w:headerReference w:type="default" r:id="rId7"/>
      <w:footerReference w:type="default" r:id="rId8"/>
      <w:pgSz w:w="11906" w:h="16838"/>
      <w:pgMar w:top="1080" w:right="1134" w:bottom="888" w:left="1134" w:header="708" w:footer="3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B0B9C5" w14:textId="77777777" w:rsidR="00732488" w:rsidRDefault="00732488">
      <w:r>
        <w:separator/>
      </w:r>
    </w:p>
  </w:endnote>
  <w:endnote w:type="continuationSeparator" w:id="0">
    <w:p w14:paraId="2058FDD2" w14:textId="77777777" w:rsidR="00732488" w:rsidRDefault="00732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1B539B" w14:textId="5C971BA3" w:rsidR="006A70CC" w:rsidRDefault="00000000" w:rsidP="000834AD">
    <w:pPr>
      <w:pBdr>
        <w:top w:val="single" w:sz="6" w:space="6" w:color="CBD5E1"/>
      </w:pBdr>
      <w:tabs>
        <w:tab w:val="center" w:pos="4820"/>
      </w:tabs>
      <w:spacing w:before="80"/>
    </w:pPr>
    <w:r>
      <w:rPr>
        <w:color w:val="64748B"/>
        <w:sz w:val="15"/>
        <w:szCs w:val="15"/>
      </w:rPr>
      <w:t>Internal / investment-committee use</w:t>
    </w:r>
    <w:r w:rsidR="000834AD">
      <w:rPr>
        <w:color w:val="64748B"/>
        <w:sz w:val="15"/>
        <w:szCs w:val="15"/>
      </w:rPr>
      <w:tab/>
    </w:r>
    <w:r>
      <w:rPr>
        <w:color w:val="64748B"/>
        <w:sz w:val="15"/>
        <w:szCs w:val="15"/>
      </w:rPr>
      <w:t xml:space="preserve">Page </w:t>
    </w:r>
    <w:r>
      <w:rPr>
        <w:b/>
        <w:bCs/>
        <w:color w:val="1B365D"/>
        <w:sz w:val="15"/>
        <w:szCs w:val="15"/>
      </w:rPr>
      <w:fldChar w:fldCharType="begin"/>
    </w:r>
    <w:r>
      <w:rPr>
        <w:b/>
        <w:bCs/>
        <w:color w:val="1B365D"/>
        <w:sz w:val="15"/>
        <w:szCs w:val="15"/>
      </w:rPr>
      <w:instrText>PAGE</w:instrText>
    </w:r>
    <w:r>
      <w:rPr>
        <w:b/>
        <w:bCs/>
        <w:color w:val="1B365D"/>
        <w:sz w:val="15"/>
        <w:szCs w:val="15"/>
      </w:rPr>
      <w:fldChar w:fldCharType="separate"/>
    </w:r>
    <w:r w:rsidR="000834AD">
      <w:rPr>
        <w:b/>
        <w:bCs/>
        <w:noProof/>
        <w:color w:val="1B365D"/>
        <w:sz w:val="15"/>
        <w:szCs w:val="15"/>
      </w:rPr>
      <w:t>1</w:t>
    </w:r>
    <w:r>
      <w:rPr>
        <w:b/>
        <w:bCs/>
        <w:color w:val="1B365D"/>
        <w:sz w:val="15"/>
        <w:szCs w:val="15"/>
      </w:rPr>
      <w:fldChar w:fldCharType="end"/>
    </w:r>
    <w:r>
      <w:rPr>
        <w:color w:val="64748B"/>
        <w:sz w:val="15"/>
        <w:szCs w:val="15"/>
      </w:rPr>
      <w:t xml:space="preserve"> / </w:t>
    </w:r>
    <w:r>
      <w:rPr>
        <w:b/>
        <w:bCs/>
        <w:color w:val="1B365D"/>
        <w:sz w:val="15"/>
        <w:szCs w:val="15"/>
      </w:rPr>
      <w:fldChar w:fldCharType="begin"/>
    </w:r>
    <w:r>
      <w:rPr>
        <w:b/>
        <w:bCs/>
        <w:color w:val="1B365D"/>
        <w:sz w:val="15"/>
        <w:szCs w:val="15"/>
      </w:rPr>
      <w:instrText>NUMPAGES</w:instrText>
    </w:r>
    <w:r>
      <w:rPr>
        <w:b/>
        <w:bCs/>
        <w:color w:val="1B365D"/>
        <w:sz w:val="15"/>
        <w:szCs w:val="15"/>
      </w:rPr>
      <w:fldChar w:fldCharType="separate"/>
    </w:r>
    <w:r w:rsidR="000834AD">
      <w:rPr>
        <w:b/>
        <w:bCs/>
        <w:noProof/>
        <w:color w:val="1B365D"/>
        <w:sz w:val="15"/>
        <w:szCs w:val="15"/>
      </w:rPr>
      <w:t>2</w:t>
    </w:r>
    <w:r>
      <w:rPr>
        <w:b/>
        <w:bCs/>
        <w:color w:val="1B365D"/>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05CF7C4" w14:textId="77777777" w:rsidR="00732488" w:rsidRDefault="00732488">
      <w:r>
        <w:separator/>
      </w:r>
    </w:p>
  </w:footnote>
  <w:footnote w:type="continuationSeparator" w:id="0">
    <w:p w14:paraId="1EC4833E" w14:textId="77777777" w:rsidR="00732488" w:rsidRDefault="007324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A6F6A0" w14:textId="77777777" w:rsidR="006A70CC" w:rsidRDefault="00000000">
    <w:pPr>
      <w:pBdr>
        <w:bottom w:val="single" w:sz="8" w:space="6" w:color="1B365D"/>
      </w:pBdr>
      <w:spacing w:after="80"/>
    </w:pPr>
    <w:r>
      <w:rPr>
        <w:color w:val="64748B"/>
        <w:sz w:val="16"/>
        <w:szCs w:val="16"/>
      </w:rPr>
      <w:t xml:space="preserve">FID </w:t>
    </w:r>
    <w:proofErr w:type="gramStart"/>
    <w:r>
      <w:rPr>
        <w:color w:val="64748B"/>
        <w:sz w:val="16"/>
        <w:szCs w:val="16"/>
      </w:rPr>
      <w:t>BRIEF  ·</w:t>
    </w:r>
    <w:proofErr w:type="gramEnd"/>
    <w:r>
      <w:rPr>
        <w:color w:val="64748B"/>
        <w:sz w:val="16"/>
        <w:szCs w:val="16"/>
      </w:rPr>
      <w:t xml:space="preserve">  Stage-gate &amp; investment appraisal</w:t>
    </w:r>
    <w:r>
      <w:rPr>
        <w:b/>
        <w:bCs/>
        <w:color w:val="1B365D"/>
        <w:sz w:val="16"/>
        <w:szCs w:val="16"/>
      </w:rPr>
      <w:t xml:space="preserve">    |    LSE MBA </w:t>
    </w:r>
    <w:proofErr w:type="gramStart"/>
    <w:r>
      <w:rPr>
        <w:b/>
        <w:bCs/>
        <w:color w:val="1B365D"/>
        <w:sz w:val="16"/>
        <w:szCs w:val="16"/>
      </w:rPr>
      <w:t>Essentials  ·</w:t>
    </w:r>
    <w:proofErr w:type="gramEnd"/>
    <w:r>
      <w:rPr>
        <w:b/>
        <w:bCs/>
        <w:color w:val="1B365D"/>
        <w:sz w:val="16"/>
        <w:szCs w:val="16"/>
      </w:rPr>
      <w:t xml:space="preserve">  F. Dorleans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DD0968"/>
    <w:multiLevelType w:val="hybridMultilevel"/>
    <w:tmpl w:val="1274686A"/>
    <w:lvl w:ilvl="0" w:tplc="0E10FAD2">
      <w:start w:val="1"/>
      <w:numFmt w:val="bullet"/>
      <w:lvlText w:val="•"/>
      <w:lvlJc w:val="left"/>
      <w:pPr>
        <w:ind w:left="360" w:hanging="200"/>
      </w:pPr>
    </w:lvl>
    <w:lvl w:ilvl="1" w:tplc="CDA486B4">
      <w:numFmt w:val="decimal"/>
      <w:lvlText w:val=""/>
      <w:lvlJc w:val="left"/>
    </w:lvl>
    <w:lvl w:ilvl="2" w:tplc="2F448F70">
      <w:numFmt w:val="decimal"/>
      <w:lvlText w:val=""/>
      <w:lvlJc w:val="left"/>
    </w:lvl>
    <w:lvl w:ilvl="3" w:tplc="657CDA70">
      <w:numFmt w:val="decimal"/>
      <w:lvlText w:val=""/>
      <w:lvlJc w:val="left"/>
    </w:lvl>
    <w:lvl w:ilvl="4" w:tplc="98825BCC">
      <w:numFmt w:val="decimal"/>
      <w:lvlText w:val=""/>
      <w:lvlJc w:val="left"/>
    </w:lvl>
    <w:lvl w:ilvl="5" w:tplc="052A690C">
      <w:numFmt w:val="decimal"/>
      <w:lvlText w:val=""/>
      <w:lvlJc w:val="left"/>
    </w:lvl>
    <w:lvl w:ilvl="6" w:tplc="47EA2C60">
      <w:numFmt w:val="decimal"/>
      <w:lvlText w:val=""/>
      <w:lvlJc w:val="left"/>
    </w:lvl>
    <w:lvl w:ilvl="7" w:tplc="CAD87B44">
      <w:numFmt w:val="decimal"/>
      <w:lvlText w:val=""/>
      <w:lvlJc w:val="left"/>
    </w:lvl>
    <w:lvl w:ilvl="8" w:tplc="6D442564">
      <w:numFmt w:val="decimal"/>
      <w:lvlText w:val=""/>
      <w:lvlJc w:val="left"/>
    </w:lvl>
  </w:abstractNum>
  <w:abstractNum w:abstractNumId="1" w15:restartNumberingAfterBreak="0">
    <w:nsid w:val="1DB30004"/>
    <w:multiLevelType w:val="hybridMultilevel"/>
    <w:tmpl w:val="B4080E0C"/>
    <w:lvl w:ilvl="0" w:tplc="6860974E">
      <w:start w:val="1"/>
      <w:numFmt w:val="decimal"/>
      <w:lvlText w:val="%1."/>
      <w:lvlJc w:val="left"/>
      <w:pPr>
        <w:ind w:left="360" w:hanging="260"/>
      </w:pPr>
    </w:lvl>
    <w:lvl w:ilvl="1" w:tplc="2F7E4CAE">
      <w:numFmt w:val="decimal"/>
      <w:lvlText w:val=""/>
      <w:lvlJc w:val="left"/>
    </w:lvl>
    <w:lvl w:ilvl="2" w:tplc="1F568698">
      <w:numFmt w:val="decimal"/>
      <w:lvlText w:val=""/>
      <w:lvlJc w:val="left"/>
    </w:lvl>
    <w:lvl w:ilvl="3" w:tplc="1A30F168">
      <w:numFmt w:val="decimal"/>
      <w:lvlText w:val=""/>
      <w:lvlJc w:val="left"/>
    </w:lvl>
    <w:lvl w:ilvl="4" w:tplc="A3C8BD00">
      <w:numFmt w:val="decimal"/>
      <w:lvlText w:val=""/>
      <w:lvlJc w:val="left"/>
    </w:lvl>
    <w:lvl w:ilvl="5" w:tplc="1B340EFC">
      <w:numFmt w:val="decimal"/>
      <w:lvlText w:val=""/>
      <w:lvlJc w:val="left"/>
    </w:lvl>
    <w:lvl w:ilvl="6" w:tplc="3526548E">
      <w:numFmt w:val="decimal"/>
      <w:lvlText w:val=""/>
      <w:lvlJc w:val="left"/>
    </w:lvl>
    <w:lvl w:ilvl="7" w:tplc="4CBE9ACC">
      <w:numFmt w:val="decimal"/>
      <w:lvlText w:val=""/>
      <w:lvlJc w:val="left"/>
    </w:lvl>
    <w:lvl w:ilvl="8" w:tplc="0B6C6AE8">
      <w:numFmt w:val="decimal"/>
      <w:lvlText w:val=""/>
      <w:lvlJc w:val="left"/>
    </w:lvl>
  </w:abstractNum>
  <w:abstractNum w:abstractNumId="2" w15:restartNumberingAfterBreak="0">
    <w:nsid w:val="411B77A5"/>
    <w:multiLevelType w:val="hybridMultilevel"/>
    <w:tmpl w:val="9B10208E"/>
    <w:lvl w:ilvl="0" w:tplc="49E42DA0">
      <w:start w:val="1"/>
      <w:numFmt w:val="bullet"/>
      <w:lvlText w:val="•"/>
      <w:lvlJc w:val="left"/>
      <w:pPr>
        <w:ind w:left="360" w:hanging="200"/>
      </w:pPr>
    </w:lvl>
    <w:lvl w:ilvl="1" w:tplc="D19A98E8">
      <w:numFmt w:val="decimal"/>
      <w:lvlText w:val=""/>
      <w:lvlJc w:val="left"/>
    </w:lvl>
    <w:lvl w:ilvl="2" w:tplc="8BD04324">
      <w:numFmt w:val="decimal"/>
      <w:lvlText w:val=""/>
      <w:lvlJc w:val="left"/>
    </w:lvl>
    <w:lvl w:ilvl="3" w:tplc="430C9C68">
      <w:numFmt w:val="decimal"/>
      <w:lvlText w:val=""/>
      <w:lvlJc w:val="left"/>
    </w:lvl>
    <w:lvl w:ilvl="4" w:tplc="D444DC64">
      <w:numFmt w:val="decimal"/>
      <w:lvlText w:val=""/>
      <w:lvlJc w:val="left"/>
    </w:lvl>
    <w:lvl w:ilvl="5" w:tplc="A798F76E">
      <w:numFmt w:val="decimal"/>
      <w:lvlText w:val=""/>
      <w:lvlJc w:val="left"/>
    </w:lvl>
    <w:lvl w:ilvl="6" w:tplc="FF76F2AA">
      <w:numFmt w:val="decimal"/>
      <w:lvlText w:val=""/>
      <w:lvlJc w:val="left"/>
    </w:lvl>
    <w:lvl w:ilvl="7" w:tplc="2C7E4578">
      <w:numFmt w:val="decimal"/>
      <w:lvlText w:val=""/>
      <w:lvlJc w:val="left"/>
    </w:lvl>
    <w:lvl w:ilvl="8" w:tplc="9294DCE8">
      <w:numFmt w:val="decimal"/>
      <w:lvlText w:val=""/>
      <w:lvlJc w:val="left"/>
    </w:lvl>
  </w:abstractNum>
  <w:abstractNum w:abstractNumId="3" w15:restartNumberingAfterBreak="0">
    <w:nsid w:val="4C813446"/>
    <w:multiLevelType w:val="hybridMultilevel"/>
    <w:tmpl w:val="1FA676DC"/>
    <w:lvl w:ilvl="0" w:tplc="37DC75B0">
      <w:start w:val="1"/>
      <w:numFmt w:val="decimal"/>
      <w:lvlText w:val="%1."/>
      <w:lvlJc w:val="left"/>
      <w:pPr>
        <w:ind w:left="360" w:hanging="260"/>
      </w:pPr>
    </w:lvl>
    <w:lvl w:ilvl="1" w:tplc="569890F0">
      <w:numFmt w:val="decimal"/>
      <w:lvlText w:val=""/>
      <w:lvlJc w:val="left"/>
    </w:lvl>
    <w:lvl w:ilvl="2" w:tplc="C74EAF42">
      <w:numFmt w:val="decimal"/>
      <w:lvlText w:val=""/>
      <w:lvlJc w:val="left"/>
    </w:lvl>
    <w:lvl w:ilvl="3" w:tplc="E2FCA326">
      <w:numFmt w:val="decimal"/>
      <w:lvlText w:val=""/>
      <w:lvlJc w:val="left"/>
    </w:lvl>
    <w:lvl w:ilvl="4" w:tplc="59C07D82">
      <w:numFmt w:val="decimal"/>
      <w:lvlText w:val=""/>
      <w:lvlJc w:val="left"/>
    </w:lvl>
    <w:lvl w:ilvl="5" w:tplc="604016E2">
      <w:numFmt w:val="decimal"/>
      <w:lvlText w:val=""/>
      <w:lvlJc w:val="left"/>
    </w:lvl>
    <w:lvl w:ilvl="6" w:tplc="51EEB204">
      <w:numFmt w:val="decimal"/>
      <w:lvlText w:val=""/>
      <w:lvlJc w:val="left"/>
    </w:lvl>
    <w:lvl w:ilvl="7" w:tplc="E5AA2A5C">
      <w:numFmt w:val="decimal"/>
      <w:lvlText w:val=""/>
      <w:lvlJc w:val="left"/>
    </w:lvl>
    <w:lvl w:ilvl="8" w:tplc="5F26C3B2">
      <w:numFmt w:val="decimal"/>
      <w:lvlText w:val=""/>
      <w:lvlJc w:val="left"/>
    </w:lvl>
  </w:abstractNum>
  <w:abstractNum w:abstractNumId="4" w15:restartNumberingAfterBreak="0">
    <w:nsid w:val="57CD2389"/>
    <w:multiLevelType w:val="hybridMultilevel"/>
    <w:tmpl w:val="DF24E35C"/>
    <w:lvl w:ilvl="0" w:tplc="CA1C40BE">
      <w:start w:val="1"/>
      <w:numFmt w:val="bullet"/>
      <w:lvlText w:val="•"/>
      <w:lvlJc w:val="left"/>
      <w:pPr>
        <w:ind w:left="360" w:hanging="200"/>
      </w:pPr>
    </w:lvl>
    <w:lvl w:ilvl="1" w:tplc="1758D192">
      <w:numFmt w:val="decimal"/>
      <w:lvlText w:val=""/>
      <w:lvlJc w:val="left"/>
    </w:lvl>
    <w:lvl w:ilvl="2" w:tplc="4C76C89A">
      <w:numFmt w:val="decimal"/>
      <w:lvlText w:val=""/>
      <w:lvlJc w:val="left"/>
    </w:lvl>
    <w:lvl w:ilvl="3" w:tplc="58AC26B2">
      <w:numFmt w:val="decimal"/>
      <w:lvlText w:val=""/>
      <w:lvlJc w:val="left"/>
    </w:lvl>
    <w:lvl w:ilvl="4" w:tplc="D2383704">
      <w:numFmt w:val="decimal"/>
      <w:lvlText w:val=""/>
      <w:lvlJc w:val="left"/>
    </w:lvl>
    <w:lvl w:ilvl="5" w:tplc="EAA67FB0">
      <w:numFmt w:val="decimal"/>
      <w:lvlText w:val=""/>
      <w:lvlJc w:val="left"/>
    </w:lvl>
    <w:lvl w:ilvl="6" w:tplc="07BAC208">
      <w:numFmt w:val="decimal"/>
      <w:lvlText w:val=""/>
      <w:lvlJc w:val="left"/>
    </w:lvl>
    <w:lvl w:ilvl="7" w:tplc="4D74BEC0">
      <w:numFmt w:val="decimal"/>
      <w:lvlText w:val=""/>
      <w:lvlJc w:val="left"/>
    </w:lvl>
    <w:lvl w:ilvl="8" w:tplc="6D7835A6">
      <w:numFmt w:val="decimal"/>
      <w:lvlText w:val=""/>
      <w:lvlJc w:val="left"/>
    </w:lvl>
  </w:abstractNum>
  <w:abstractNum w:abstractNumId="5" w15:restartNumberingAfterBreak="0">
    <w:nsid w:val="58D93BD9"/>
    <w:multiLevelType w:val="hybridMultilevel"/>
    <w:tmpl w:val="A54613B6"/>
    <w:lvl w:ilvl="0" w:tplc="A7588932">
      <w:start w:val="1"/>
      <w:numFmt w:val="bullet"/>
      <w:lvlText w:val="●"/>
      <w:lvlJc w:val="left"/>
      <w:pPr>
        <w:ind w:left="720" w:hanging="360"/>
      </w:pPr>
    </w:lvl>
    <w:lvl w:ilvl="1" w:tplc="EAE84B34">
      <w:start w:val="1"/>
      <w:numFmt w:val="bullet"/>
      <w:lvlText w:val="○"/>
      <w:lvlJc w:val="left"/>
      <w:pPr>
        <w:ind w:left="1440" w:hanging="360"/>
      </w:pPr>
    </w:lvl>
    <w:lvl w:ilvl="2" w:tplc="6742C182">
      <w:start w:val="1"/>
      <w:numFmt w:val="bullet"/>
      <w:lvlText w:val="■"/>
      <w:lvlJc w:val="left"/>
      <w:pPr>
        <w:ind w:left="2160" w:hanging="360"/>
      </w:pPr>
    </w:lvl>
    <w:lvl w:ilvl="3" w:tplc="26A01F0C">
      <w:start w:val="1"/>
      <w:numFmt w:val="bullet"/>
      <w:lvlText w:val="●"/>
      <w:lvlJc w:val="left"/>
      <w:pPr>
        <w:ind w:left="2880" w:hanging="360"/>
      </w:pPr>
    </w:lvl>
    <w:lvl w:ilvl="4" w:tplc="52EC8664">
      <w:start w:val="1"/>
      <w:numFmt w:val="bullet"/>
      <w:lvlText w:val="○"/>
      <w:lvlJc w:val="left"/>
      <w:pPr>
        <w:ind w:left="3600" w:hanging="360"/>
      </w:pPr>
    </w:lvl>
    <w:lvl w:ilvl="5" w:tplc="31CA966A">
      <w:start w:val="1"/>
      <w:numFmt w:val="bullet"/>
      <w:lvlText w:val="■"/>
      <w:lvlJc w:val="left"/>
      <w:pPr>
        <w:ind w:left="4320" w:hanging="360"/>
      </w:pPr>
    </w:lvl>
    <w:lvl w:ilvl="6" w:tplc="FDC03A56">
      <w:start w:val="1"/>
      <w:numFmt w:val="bullet"/>
      <w:lvlText w:val="●"/>
      <w:lvlJc w:val="left"/>
      <w:pPr>
        <w:ind w:left="5040" w:hanging="360"/>
      </w:pPr>
    </w:lvl>
    <w:lvl w:ilvl="7" w:tplc="6C86BB02">
      <w:start w:val="1"/>
      <w:numFmt w:val="bullet"/>
      <w:lvlText w:val="●"/>
      <w:lvlJc w:val="left"/>
      <w:pPr>
        <w:ind w:left="5760" w:hanging="360"/>
      </w:pPr>
    </w:lvl>
    <w:lvl w:ilvl="8" w:tplc="BB66ABD8">
      <w:start w:val="1"/>
      <w:numFmt w:val="bullet"/>
      <w:lvlText w:val="●"/>
      <w:lvlJc w:val="left"/>
      <w:pPr>
        <w:ind w:left="6480" w:hanging="360"/>
      </w:pPr>
    </w:lvl>
  </w:abstractNum>
  <w:abstractNum w:abstractNumId="6" w15:restartNumberingAfterBreak="0">
    <w:nsid w:val="68027175"/>
    <w:multiLevelType w:val="hybridMultilevel"/>
    <w:tmpl w:val="C2027D26"/>
    <w:lvl w:ilvl="0" w:tplc="C0A4F340">
      <w:start w:val="1"/>
      <w:numFmt w:val="decimal"/>
      <w:lvlText w:val="%1."/>
      <w:lvlJc w:val="left"/>
      <w:pPr>
        <w:ind w:left="360" w:hanging="260"/>
      </w:pPr>
    </w:lvl>
    <w:lvl w:ilvl="1" w:tplc="81E49FA8">
      <w:numFmt w:val="decimal"/>
      <w:lvlText w:val=""/>
      <w:lvlJc w:val="left"/>
    </w:lvl>
    <w:lvl w:ilvl="2" w:tplc="8E641860">
      <w:numFmt w:val="decimal"/>
      <w:lvlText w:val=""/>
      <w:lvlJc w:val="left"/>
    </w:lvl>
    <w:lvl w:ilvl="3" w:tplc="669AA602">
      <w:numFmt w:val="decimal"/>
      <w:lvlText w:val=""/>
      <w:lvlJc w:val="left"/>
    </w:lvl>
    <w:lvl w:ilvl="4" w:tplc="1818D78C">
      <w:numFmt w:val="decimal"/>
      <w:lvlText w:val=""/>
      <w:lvlJc w:val="left"/>
    </w:lvl>
    <w:lvl w:ilvl="5" w:tplc="C9F690D0">
      <w:numFmt w:val="decimal"/>
      <w:lvlText w:val=""/>
      <w:lvlJc w:val="left"/>
    </w:lvl>
    <w:lvl w:ilvl="6" w:tplc="0C0C8C50">
      <w:numFmt w:val="decimal"/>
      <w:lvlText w:val=""/>
      <w:lvlJc w:val="left"/>
    </w:lvl>
    <w:lvl w:ilvl="7" w:tplc="7BD40DFE">
      <w:numFmt w:val="decimal"/>
      <w:lvlText w:val=""/>
      <w:lvlJc w:val="left"/>
    </w:lvl>
    <w:lvl w:ilvl="8" w:tplc="08C032B2">
      <w:numFmt w:val="decimal"/>
      <w:lvlText w:val=""/>
      <w:lvlJc w:val="left"/>
    </w:lvl>
  </w:abstractNum>
  <w:abstractNum w:abstractNumId="7" w15:restartNumberingAfterBreak="0">
    <w:nsid w:val="687F0F67"/>
    <w:multiLevelType w:val="hybridMultilevel"/>
    <w:tmpl w:val="125A6D66"/>
    <w:lvl w:ilvl="0" w:tplc="452653B8">
      <w:start w:val="1"/>
      <w:numFmt w:val="bullet"/>
      <w:lvlText w:val="•"/>
      <w:lvlJc w:val="left"/>
      <w:pPr>
        <w:ind w:left="360" w:hanging="200"/>
      </w:pPr>
    </w:lvl>
    <w:lvl w:ilvl="1" w:tplc="4B148EB2">
      <w:numFmt w:val="decimal"/>
      <w:lvlText w:val=""/>
      <w:lvlJc w:val="left"/>
    </w:lvl>
    <w:lvl w:ilvl="2" w:tplc="AB6853F0">
      <w:numFmt w:val="decimal"/>
      <w:lvlText w:val=""/>
      <w:lvlJc w:val="left"/>
    </w:lvl>
    <w:lvl w:ilvl="3" w:tplc="7892DC38">
      <w:numFmt w:val="decimal"/>
      <w:lvlText w:val=""/>
      <w:lvlJc w:val="left"/>
    </w:lvl>
    <w:lvl w:ilvl="4" w:tplc="CF707CCE">
      <w:numFmt w:val="decimal"/>
      <w:lvlText w:val=""/>
      <w:lvlJc w:val="left"/>
    </w:lvl>
    <w:lvl w:ilvl="5" w:tplc="4D226332">
      <w:numFmt w:val="decimal"/>
      <w:lvlText w:val=""/>
      <w:lvlJc w:val="left"/>
    </w:lvl>
    <w:lvl w:ilvl="6" w:tplc="CA943132">
      <w:numFmt w:val="decimal"/>
      <w:lvlText w:val=""/>
      <w:lvlJc w:val="left"/>
    </w:lvl>
    <w:lvl w:ilvl="7" w:tplc="AA3EA002">
      <w:numFmt w:val="decimal"/>
      <w:lvlText w:val=""/>
      <w:lvlJc w:val="left"/>
    </w:lvl>
    <w:lvl w:ilvl="8" w:tplc="191A3A88">
      <w:numFmt w:val="decimal"/>
      <w:lvlText w:val=""/>
      <w:lvlJc w:val="left"/>
    </w:lvl>
  </w:abstractNum>
  <w:abstractNum w:abstractNumId="8" w15:restartNumberingAfterBreak="0">
    <w:nsid w:val="696B0DB5"/>
    <w:multiLevelType w:val="hybridMultilevel"/>
    <w:tmpl w:val="1DEEA9F2"/>
    <w:lvl w:ilvl="0" w:tplc="4DCCE338">
      <w:start w:val="1"/>
      <w:numFmt w:val="bullet"/>
      <w:lvlText w:val="•"/>
      <w:lvlJc w:val="left"/>
      <w:pPr>
        <w:ind w:left="360" w:hanging="200"/>
      </w:pPr>
    </w:lvl>
    <w:lvl w:ilvl="1" w:tplc="668A1410">
      <w:numFmt w:val="decimal"/>
      <w:lvlText w:val=""/>
      <w:lvlJc w:val="left"/>
    </w:lvl>
    <w:lvl w:ilvl="2" w:tplc="27B6B5A4">
      <w:numFmt w:val="decimal"/>
      <w:lvlText w:val=""/>
      <w:lvlJc w:val="left"/>
    </w:lvl>
    <w:lvl w:ilvl="3" w:tplc="C5783DAA">
      <w:numFmt w:val="decimal"/>
      <w:lvlText w:val=""/>
      <w:lvlJc w:val="left"/>
    </w:lvl>
    <w:lvl w:ilvl="4" w:tplc="1A988008">
      <w:numFmt w:val="decimal"/>
      <w:lvlText w:val=""/>
      <w:lvlJc w:val="left"/>
    </w:lvl>
    <w:lvl w:ilvl="5" w:tplc="1610CF40">
      <w:numFmt w:val="decimal"/>
      <w:lvlText w:val=""/>
      <w:lvlJc w:val="left"/>
    </w:lvl>
    <w:lvl w:ilvl="6" w:tplc="5E2C37C4">
      <w:numFmt w:val="decimal"/>
      <w:lvlText w:val=""/>
      <w:lvlJc w:val="left"/>
    </w:lvl>
    <w:lvl w:ilvl="7" w:tplc="DC10DD26">
      <w:numFmt w:val="decimal"/>
      <w:lvlText w:val=""/>
      <w:lvlJc w:val="left"/>
    </w:lvl>
    <w:lvl w:ilvl="8" w:tplc="BE5A0B10">
      <w:numFmt w:val="decimal"/>
      <w:lvlText w:val=""/>
      <w:lvlJc w:val="left"/>
    </w:lvl>
  </w:abstractNum>
  <w:abstractNum w:abstractNumId="9" w15:restartNumberingAfterBreak="0">
    <w:nsid w:val="71B86487"/>
    <w:multiLevelType w:val="hybridMultilevel"/>
    <w:tmpl w:val="A7ECADC4"/>
    <w:lvl w:ilvl="0" w:tplc="D9AC17C8">
      <w:start w:val="1"/>
      <w:numFmt w:val="bullet"/>
      <w:lvlText w:val="•"/>
      <w:lvlJc w:val="left"/>
      <w:pPr>
        <w:ind w:left="360" w:hanging="200"/>
      </w:pPr>
    </w:lvl>
    <w:lvl w:ilvl="1" w:tplc="D11A93C8">
      <w:numFmt w:val="decimal"/>
      <w:lvlText w:val=""/>
      <w:lvlJc w:val="left"/>
    </w:lvl>
    <w:lvl w:ilvl="2" w:tplc="CACC923E">
      <w:numFmt w:val="decimal"/>
      <w:lvlText w:val=""/>
      <w:lvlJc w:val="left"/>
    </w:lvl>
    <w:lvl w:ilvl="3" w:tplc="E9C6F99E">
      <w:numFmt w:val="decimal"/>
      <w:lvlText w:val=""/>
      <w:lvlJc w:val="left"/>
    </w:lvl>
    <w:lvl w:ilvl="4" w:tplc="D62AC4A8">
      <w:numFmt w:val="decimal"/>
      <w:lvlText w:val=""/>
      <w:lvlJc w:val="left"/>
    </w:lvl>
    <w:lvl w:ilvl="5" w:tplc="F57AE3D0">
      <w:numFmt w:val="decimal"/>
      <w:lvlText w:val=""/>
      <w:lvlJc w:val="left"/>
    </w:lvl>
    <w:lvl w:ilvl="6" w:tplc="4A96D680">
      <w:numFmt w:val="decimal"/>
      <w:lvlText w:val=""/>
      <w:lvlJc w:val="left"/>
    </w:lvl>
    <w:lvl w:ilvl="7" w:tplc="9F04DC68">
      <w:numFmt w:val="decimal"/>
      <w:lvlText w:val=""/>
      <w:lvlJc w:val="left"/>
    </w:lvl>
    <w:lvl w:ilvl="8" w:tplc="32B6BAA0">
      <w:numFmt w:val="decimal"/>
      <w:lvlText w:val=""/>
      <w:lvlJc w:val="left"/>
    </w:lvl>
  </w:abstractNum>
  <w:abstractNum w:abstractNumId="10" w15:restartNumberingAfterBreak="0">
    <w:nsid w:val="768524A8"/>
    <w:multiLevelType w:val="hybridMultilevel"/>
    <w:tmpl w:val="D8D60D74"/>
    <w:lvl w:ilvl="0" w:tplc="64C44A0E">
      <w:start w:val="1"/>
      <w:numFmt w:val="bullet"/>
      <w:lvlText w:val="•"/>
      <w:lvlJc w:val="left"/>
      <w:pPr>
        <w:ind w:left="360" w:hanging="200"/>
      </w:pPr>
    </w:lvl>
    <w:lvl w:ilvl="1" w:tplc="51B884F6">
      <w:numFmt w:val="decimal"/>
      <w:lvlText w:val=""/>
      <w:lvlJc w:val="left"/>
    </w:lvl>
    <w:lvl w:ilvl="2" w:tplc="44225B2C">
      <w:numFmt w:val="decimal"/>
      <w:lvlText w:val=""/>
      <w:lvlJc w:val="left"/>
    </w:lvl>
    <w:lvl w:ilvl="3" w:tplc="2AD47D42">
      <w:numFmt w:val="decimal"/>
      <w:lvlText w:val=""/>
      <w:lvlJc w:val="left"/>
    </w:lvl>
    <w:lvl w:ilvl="4" w:tplc="E61416EE">
      <w:numFmt w:val="decimal"/>
      <w:lvlText w:val=""/>
      <w:lvlJc w:val="left"/>
    </w:lvl>
    <w:lvl w:ilvl="5" w:tplc="EBA224AC">
      <w:numFmt w:val="decimal"/>
      <w:lvlText w:val=""/>
      <w:lvlJc w:val="left"/>
    </w:lvl>
    <w:lvl w:ilvl="6" w:tplc="2E421D40">
      <w:numFmt w:val="decimal"/>
      <w:lvlText w:val=""/>
      <w:lvlJc w:val="left"/>
    </w:lvl>
    <w:lvl w:ilvl="7" w:tplc="6D1A0880">
      <w:numFmt w:val="decimal"/>
      <w:lvlText w:val=""/>
      <w:lvlJc w:val="left"/>
    </w:lvl>
    <w:lvl w:ilvl="8" w:tplc="5642A2DE">
      <w:numFmt w:val="decimal"/>
      <w:lvlText w:val=""/>
      <w:lvlJc w:val="left"/>
    </w:lvl>
  </w:abstractNum>
  <w:abstractNum w:abstractNumId="11" w15:restartNumberingAfterBreak="0">
    <w:nsid w:val="7F9436DA"/>
    <w:multiLevelType w:val="hybridMultilevel"/>
    <w:tmpl w:val="13AAC8EE"/>
    <w:lvl w:ilvl="0" w:tplc="F886C7AC">
      <w:start w:val="1"/>
      <w:numFmt w:val="bullet"/>
      <w:lvlText w:val="•"/>
      <w:lvlJc w:val="left"/>
      <w:pPr>
        <w:ind w:left="360" w:hanging="200"/>
      </w:pPr>
    </w:lvl>
    <w:lvl w:ilvl="1" w:tplc="AF7A8FC8">
      <w:numFmt w:val="decimal"/>
      <w:lvlText w:val=""/>
      <w:lvlJc w:val="left"/>
    </w:lvl>
    <w:lvl w:ilvl="2" w:tplc="93A49E34">
      <w:numFmt w:val="decimal"/>
      <w:lvlText w:val=""/>
      <w:lvlJc w:val="left"/>
    </w:lvl>
    <w:lvl w:ilvl="3" w:tplc="B8B6C13C">
      <w:numFmt w:val="decimal"/>
      <w:lvlText w:val=""/>
      <w:lvlJc w:val="left"/>
    </w:lvl>
    <w:lvl w:ilvl="4" w:tplc="D71A9116">
      <w:numFmt w:val="decimal"/>
      <w:lvlText w:val=""/>
      <w:lvlJc w:val="left"/>
    </w:lvl>
    <w:lvl w:ilvl="5" w:tplc="632618FC">
      <w:numFmt w:val="decimal"/>
      <w:lvlText w:val=""/>
      <w:lvlJc w:val="left"/>
    </w:lvl>
    <w:lvl w:ilvl="6" w:tplc="FE523630">
      <w:numFmt w:val="decimal"/>
      <w:lvlText w:val=""/>
      <w:lvlJc w:val="left"/>
    </w:lvl>
    <w:lvl w:ilvl="7" w:tplc="4C026764">
      <w:numFmt w:val="decimal"/>
      <w:lvlText w:val=""/>
      <w:lvlJc w:val="left"/>
    </w:lvl>
    <w:lvl w:ilvl="8" w:tplc="EA5AFEAA">
      <w:numFmt w:val="decimal"/>
      <w:lvlText w:val=""/>
      <w:lvlJc w:val="left"/>
    </w:lvl>
  </w:abstractNum>
  <w:num w:numId="1" w16cid:durableId="246381196">
    <w:abstractNumId w:val="5"/>
    <w:lvlOverride w:ilvl="0">
      <w:startOverride w:val="1"/>
    </w:lvlOverride>
  </w:num>
  <w:num w:numId="2" w16cid:durableId="1098721842">
    <w:abstractNumId w:val="11"/>
    <w:lvlOverride w:ilvl="0">
      <w:startOverride w:val="1"/>
    </w:lvlOverride>
  </w:num>
  <w:num w:numId="3" w16cid:durableId="358242468">
    <w:abstractNumId w:val="6"/>
    <w:lvlOverride w:ilvl="0">
      <w:startOverride w:val="1"/>
    </w:lvlOverride>
  </w:num>
  <w:num w:numId="4" w16cid:durableId="1929150329">
    <w:abstractNumId w:val="7"/>
    <w:lvlOverride w:ilvl="0">
      <w:startOverride w:val="1"/>
    </w:lvlOverride>
  </w:num>
  <w:num w:numId="5" w16cid:durableId="1314412903">
    <w:abstractNumId w:val="10"/>
    <w:lvlOverride w:ilvl="0">
      <w:startOverride w:val="1"/>
    </w:lvlOverride>
  </w:num>
  <w:num w:numId="6" w16cid:durableId="1997562668">
    <w:abstractNumId w:val="1"/>
    <w:lvlOverride w:ilvl="0">
      <w:startOverride w:val="1"/>
    </w:lvlOverride>
  </w:num>
  <w:num w:numId="7" w16cid:durableId="371077932">
    <w:abstractNumId w:val="2"/>
    <w:lvlOverride w:ilvl="0">
      <w:startOverride w:val="1"/>
    </w:lvlOverride>
  </w:num>
  <w:num w:numId="8" w16cid:durableId="635185015">
    <w:abstractNumId w:val="3"/>
    <w:lvlOverride w:ilvl="0">
      <w:startOverride w:val="1"/>
    </w:lvlOverride>
  </w:num>
  <w:num w:numId="9" w16cid:durableId="87385242">
    <w:abstractNumId w:val="8"/>
    <w:lvlOverride w:ilvl="0">
      <w:startOverride w:val="1"/>
    </w:lvlOverride>
  </w:num>
  <w:num w:numId="10" w16cid:durableId="494955650">
    <w:abstractNumId w:val="4"/>
    <w:lvlOverride w:ilvl="0">
      <w:startOverride w:val="1"/>
    </w:lvlOverride>
  </w:num>
  <w:num w:numId="11" w16cid:durableId="1031802684">
    <w:abstractNumId w:val="9"/>
    <w:lvlOverride w:ilvl="0">
      <w:startOverride w:val="1"/>
    </w:lvlOverride>
  </w:num>
  <w:num w:numId="12" w16cid:durableId="808475597">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9"/>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70CC"/>
    <w:rsid w:val="000834AD"/>
    <w:rsid w:val="003D3804"/>
    <w:rsid w:val="006A70CC"/>
    <w:rsid w:val="007324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44AA8E5"/>
  <w15:docId w15:val="{F18C095B-D60C-A74E-BFAC-07B26A8FC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160"/>
      <w:outlineLvl w:val="0"/>
    </w:pPr>
    <w:rPr>
      <w:b/>
      <w:bCs/>
      <w:color w:val="1B365D"/>
      <w:sz w:val="32"/>
      <w:szCs w:val="32"/>
    </w:rPr>
  </w:style>
  <w:style w:type="paragraph" w:styleId="Heading2">
    <w:name w:val="heading 2"/>
    <w:uiPriority w:val="9"/>
    <w:unhideWhenUsed/>
    <w:qFormat/>
    <w:pPr>
      <w:spacing w:before="280" w:after="120"/>
      <w:outlineLvl w:val="1"/>
    </w:pPr>
    <w:rPr>
      <w:b/>
      <w:bCs/>
      <w:color w:val="B91C1C"/>
      <w:sz w:val="26"/>
      <w:szCs w:val="26"/>
    </w:rPr>
  </w:style>
  <w:style w:type="paragraph" w:styleId="Heading3">
    <w:name w:val="heading 3"/>
    <w:uiPriority w:val="9"/>
    <w:unhideWhenUsed/>
    <w:qFormat/>
    <w:pPr>
      <w:spacing w:before="200" w:after="80"/>
      <w:outlineLvl w:val="2"/>
    </w:pPr>
    <w:rPr>
      <w:b/>
      <w:bCs/>
      <w:color w:val="1B365D"/>
      <w:sz w:val="22"/>
      <w:szCs w:val="22"/>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834AD"/>
    <w:pPr>
      <w:tabs>
        <w:tab w:val="center" w:pos="4513"/>
        <w:tab w:val="right" w:pos="9026"/>
      </w:tabs>
    </w:pPr>
  </w:style>
  <w:style w:type="character" w:customStyle="1" w:styleId="HeaderChar">
    <w:name w:val="Header Char"/>
    <w:basedOn w:val="DefaultParagraphFont"/>
    <w:link w:val="Header"/>
    <w:uiPriority w:val="99"/>
    <w:rsid w:val="000834AD"/>
  </w:style>
  <w:style w:type="paragraph" w:styleId="Footer">
    <w:name w:val="footer"/>
    <w:basedOn w:val="Normal"/>
    <w:link w:val="FooterChar"/>
    <w:uiPriority w:val="99"/>
    <w:unhideWhenUsed/>
    <w:rsid w:val="000834AD"/>
    <w:pPr>
      <w:tabs>
        <w:tab w:val="center" w:pos="4513"/>
        <w:tab w:val="right" w:pos="9026"/>
      </w:tabs>
    </w:pPr>
  </w:style>
  <w:style w:type="character" w:customStyle="1" w:styleId="FooterChar">
    <w:name w:val="Footer Char"/>
    <w:basedOn w:val="DefaultParagraphFont"/>
    <w:link w:val="Footer"/>
    <w:uiPriority w:val="99"/>
    <w:rsid w:val="000834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15</Pages>
  <Words>4615</Words>
  <Characters>25061</Characters>
  <Application>Microsoft Office Word</Application>
  <DocSecurity>0</DocSecurity>
  <Lines>677</Lines>
  <Paragraphs>645</Paragraphs>
  <ScaleCrop>false</ScaleCrop>
  <Company/>
  <LinksUpToDate>false</LinksUpToDate>
  <CharactersWithSpaces>29031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Francois Dorleans</cp:lastModifiedBy>
  <cp:revision>2</cp:revision>
  <dcterms:created xsi:type="dcterms:W3CDTF">2026-09-10T22:55:00Z</dcterms:created>
  <dcterms:modified xsi:type="dcterms:W3CDTF">2026-09-11T07:01:00Z</dcterms:modified>
</cp:coreProperties>
</file>