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rPr>
          <w:rFonts w:ascii="Arial" w:cs="Arial" w:eastAsia="Arial" w:hAnsi="Arial"/>
          <w:b/>
          <w:bCs/>
          <w:color w:val="1F4E79"/>
          <w:sz w:val="36"/>
          <w:szCs w:val="36"/>
        </w:rPr>
        <w:t xml:space="preserve">SOLUTIONS DE CHAUFFAGE ET DE REFROIDISSEMENT</w:t>
      </w:r>
    </w:p>
    <w:p>
      <w:pPr>
        <w:spacing w:after="120"/>
        <w:jc w:val="center"/>
      </w:pPr>
      <w:r>
        <w:rPr>
          <w:rFonts w:ascii="Arial" w:cs="Arial" w:eastAsia="Arial" w:hAnsi="Arial"/>
          <w:color w:val="2E75B6"/>
          <w:sz w:val="26"/>
          <w:szCs w:val="26"/>
        </w:rPr>
        <w:t xml:space="preserve">Pour sortir l’Europe et l’Afrique de la dépendance aux hydrocarbures</w:t>
      </w:r>
    </w:p>
    <w:p>
      <w:pPr>
        <w:spacing w:after="300"/>
        <w:jc w:val="center"/>
      </w:pPr>
      <w:r>
        <w:rPr>
          <w:rFonts w:ascii="Arial" w:cs="Arial" w:eastAsia="Arial" w:hAnsi="Arial"/>
          <w:i/>
          <w:iCs/>
          <w:sz w:val="22"/>
          <w:szCs w:val="22"/>
        </w:rPr>
        <w:t xml:space="preserve">Bâtiments • Maraîchage • Process industriels</w:t>
      </w:r>
    </w:p>
    <w:p>
      <w:pPr>
        <w:spacing w:after="400"/>
        <w:jc w:val="center"/>
      </w:pPr>
      <w:r>
        <w:rPr>
          <w:rFonts w:ascii="Arial" w:cs="Arial" w:eastAsia="Arial" w:hAnsi="Arial"/>
          <w:sz w:val="20"/>
          <w:szCs w:val="20"/>
        </w:rPr>
        <w:t xml:space="preserve">Document de synthèse technique et de plaidoyer – Focus prioritaire sur les systèmes PVT (Photovoltaïque-Thermique)</w:t>
      </w:r>
    </w:p>
    <w:p>
      <w:pPr>
        <w:spacing w:after="400"/>
        <w:jc w:val="center"/>
      </w:pPr>
      <w:r>
        <w:rPr>
          <w:rFonts w:ascii="Arial" w:cs="Arial" w:eastAsia="Arial" w:hAnsi="Arial"/>
          <w:sz w:val="20"/>
          <w:szCs w:val="20"/>
        </w:rPr>
        <w:t xml:space="preserve">Août 2026</w:t>
      </w:r>
    </w:p>
    <w:p>
      <w:pPr>
        <w:pStyle w:val="Heading1"/>
      </w:pPr>
      <w:r>
        <w:t xml:space="preserve">1. Contexte et objectifs</w:t>
      </w:r>
    </w:p>
    <w:p>
      <w:pPr>
        <w:spacing w:after="120"/>
      </w:pPr>
      <w:r>
        <w:rPr>
          <w:sz w:val="22"/>
          <w:szCs w:val="22"/>
        </w:rPr>
        <w:t xml:space="preserve">La dépendance aux hydrocarbures (gaz, fioul, charbon) pour les besoins de chaleur et de froid représente un enjeu stratégique majeur pour l’Europe et l’Afrique : sécurité d’approvisionnement, volatilité des prix, émissions de CO₂ et balance commerciale. Les bâtiments (résidentiel, tertiaire), le maraîchage sous serre et de nombreux process industriels basse/moyenne température constituent des leviers prioritaires de décarbonation.</w:t>
      </w:r>
    </w:p>
    <w:p>
      <w:pPr>
        <w:spacing w:after="120"/>
      </w:pPr>
      <w:r>
        <w:rPr>
          <w:sz w:val="22"/>
          <w:szCs w:val="22"/>
        </w:rPr>
        <w:t xml:space="preserve">Ce document rassemble les éléments techniques comparatifs des principales solutions de chauffage/refroidissement et place les systèmes hybrides PVT (Photovoltaïque-Thermique) au cœur de la stratégie, car ils maximisent la production d’énergie utile par mètre carré de toiture ou de carport, sans forage ni unité extérieure bruyante.</w:t>
      </w:r>
    </w:p>
    <w:p>
      <w:pPr>
        <w:pStyle w:val="Heading1"/>
      </w:pPr>
      <w:r>
        <w:t xml:space="preserve">2. Comparatif global des solutions (COP / SPF)</w:t>
      </w:r>
    </w:p>
    <w:p>
      <w:pPr>
        <w:spacing w:after="120"/>
      </w:pPr>
      <w:r>
        <w:rPr>
          <w:sz w:val="22"/>
          <w:szCs w:val="22"/>
        </w:rPr>
        <w:t xml:space="preserve">Le Coefficient de Performance (COP) instantané et le Seasonal Performance Factor (SPF / SCOP) saisonnier mesurent l’efficacité : plus la valeur est élevée, plus le système produit de chaleur (ou de froid) pour chaque kWh d’électricité consommé. Un COP de 5 signifie que 1 kWh électrique livre 5 kWh de chaleur utile.</w:t>
      </w:r>
    </w:p>
    <w:tbl>
      <w:tblPr>
        <w:tblW w:type="dxa" w:w="9906"/>
        <w:tblBorders>
          <w:top w:val="single" w:color="auto" w:sz="4"/>
          <w:left w:val="single" w:color="auto" w:sz="4"/>
          <w:bottom w:val="single" w:color="auto" w:sz="4"/>
          <w:right w:val="single" w:color="auto" w:sz="4"/>
          <w:insideH w:val="single" w:color="auto" w:sz="4"/>
          <w:insideV w:val="single" w:color="auto" w:sz="4"/>
        </w:tblBorders>
      </w:tblPr>
      <w:tblGrid>
        <w:gridCol w:w="2800"/>
        <w:gridCol w:w="1800"/>
        <w:gridCol w:w="1800"/>
        <w:gridCol w:w="3506"/>
      </w:tblGrid>
      <w:tr>
        <w:tc>
          <w:tcPr>
            <w:tcW w:type="dxa" w:w="2800"/>
            <w:tcBorders>
              <w:top w:val="single" w:color="CCCCCC" w:sz="1"/>
              <w:left w:val="single" w:color="CCCCCC" w:sz="1"/>
              <w:bottom w:val="single" w:color="CCCCCC" w:sz="1"/>
              <w:right w:val="single" w:color="CCCCCC" w:sz="1"/>
            </w:tcBorders>
            <w:shd w:fill="1F4E79" w:val="clear"/>
            <w:tcMar>
              <w:top w:type="dxa" w:w="60"/>
              <w:left w:type="dxa" w:w="80"/>
              <w:bottom w:type="dxa" w:w="60"/>
              <w:right w:type="dxa" w:w="80"/>
            </w:tcMar>
          </w:tcPr>
          <w:p>
            <w:pPr>
              <w:jc w:val="center"/>
            </w:pPr>
            <w:r>
              <w:rPr>
                <w:rFonts w:ascii="Arial" w:cs="Arial" w:eastAsia="Arial" w:hAnsi="Arial"/>
                <w:b/>
                <w:bCs/>
                <w:sz w:val="18"/>
                <w:szCs w:val="18"/>
              </w:rPr>
              <w:t xml:space="preserve">Technologie</w:t>
            </w:r>
          </w:p>
        </w:tc>
        <w:tc>
          <w:tcPr>
            <w:tcW w:type="dxa" w:w="1800"/>
            <w:tcBorders>
              <w:top w:val="single" w:color="CCCCCC" w:sz="1"/>
              <w:left w:val="single" w:color="CCCCCC" w:sz="1"/>
              <w:bottom w:val="single" w:color="CCCCCC" w:sz="1"/>
              <w:right w:val="single" w:color="CCCCCC" w:sz="1"/>
            </w:tcBorders>
            <w:shd w:fill="1F4E79" w:val="clear"/>
            <w:tcMar>
              <w:top w:type="dxa" w:w="60"/>
              <w:left w:type="dxa" w:w="80"/>
              <w:bottom w:type="dxa" w:w="60"/>
              <w:right w:type="dxa" w:w="80"/>
            </w:tcMar>
          </w:tcPr>
          <w:p>
            <w:pPr>
              <w:jc w:val="center"/>
            </w:pPr>
            <w:r>
              <w:rPr>
                <w:rFonts w:ascii="Arial" w:cs="Arial" w:eastAsia="Arial" w:hAnsi="Arial"/>
                <w:b/>
                <w:bCs/>
                <w:sz w:val="18"/>
                <w:szCs w:val="18"/>
              </w:rPr>
              <w:t xml:space="preserve">COP / SPF typique</w:t>
            </w:r>
          </w:p>
        </w:tc>
        <w:tc>
          <w:tcPr>
            <w:tcW w:type="dxa" w:w="1800"/>
            <w:tcBorders>
              <w:top w:val="single" w:color="CCCCCC" w:sz="1"/>
              <w:left w:val="single" w:color="CCCCCC" w:sz="1"/>
              <w:bottom w:val="single" w:color="CCCCCC" w:sz="1"/>
              <w:right w:val="single" w:color="CCCCCC" w:sz="1"/>
            </w:tcBorders>
            <w:shd w:fill="1F4E79" w:val="clear"/>
            <w:tcMar>
              <w:top w:type="dxa" w:w="60"/>
              <w:left w:type="dxa" w:w="80"/>
              <w:bottom w:type="dxa" w:w="60"/>
              <w:right w:type="dxa" w:w="80"/>
            </w:tcMar>
          </w:tcPr>
          <w:p>
            <w:pPr>
              <w:jc w:val="center"/>
            </w:pPr>
            <w:r>
              <w:rPr>
                <w:rFonts w:ascii="Arial" w:cs="Arial" w:eastAsia="Arial" w:hAnsi="Arial"/>
                <w:b/>
                <w:bCs/>
                <w:sz w:val="18"/>
                <w:szCs w:val="18"/>
              </w:rPr>
              <w:t xml:space="preserve">Plage réaliste</w:t>
            </w:r>
          </w:p>
        </w:tc>
        <w:tc>
          <w:tcPr>
            <w:tcW w:type="dxa" w:w="3506"/>
            <w:tcBorders>
              <w:top w:val="single" w:color="CCCCCC" w:sz="1"/>
              <w:left w:val="single" w:color="CCCCCC" w:sz="1"/>
              <w:bottom w:val="single" w:color="CCCCCC" w:sz="1"/>
              <w:right w:val="single" w:color="CCCCCC" w:sz="1"/>
            </w:tcBorders>
            <w:shd w:fill="1F4E79" w:val="clear"/>
            <w:tcMar>
              <w:top w:type="dxa" w:w="60"/>
              <w:left w:type="dxa" w:w="80"/>
              <w:bottom w:type="dxa" w:w="60"/>
              <w:right w:type="dxa" w:w="80"/>
            </w:tcMar>
          </w:tcPr>
          <w:p>
            <w:pPr>
              <w:jc w:val="center"/>
            </w:pPr>
            <w:r>
              <w:rPr>
                <w:rFonts w:ascii="Arial" w:cs="Arial" w:eastAsia="Arial" w:hAnsi="Arial"/>
                <w:b/>
                <w:bCs/>
                <w:sz w:val="18"/>
                <w:szCs w:val="18"/>
              </w:rPr>
              <w:t xml:space="preserve">Commentaires clés</w:t>
            </w:r>
          </w:p>
        </w:tc>
      </w:tr>
      <w:tr>
        <w:tc>
          <w:tcPr>
            <w:tcW w:type="dxa" w:w="2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PAC géothermique eau-eau (nappe)</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4,5 – 8,0</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Excellent</w:t>
            </w:r>
          </w:p>
        </w:tc>
        <w:tc>
          <w:tcPr>
            <w:tcW w:type="dxa" w:w="3506"/>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Source stable 10-15°C ; forage nécessaire</w:t>
            </w:r>
          </w:p>
        </w:tc>
      </w:tr>
      <w:tr>
        <w:tc>
          <w:tcPr>
            <w:tcW w:type="dxa" w:w="2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PAC géothermique sol-eau (glycol)</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3,0 – 6,0</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Très bon</w:t>
            </w:r>
          </w:p>
        </w:tc>
        <w:tc>
          <w:tcPr>
            <w:tcW w:type="dxa" w:w="3506"/>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Sondes verticales/horizontales ; coût et impact sol</w:t>
            </w:r>
          </w:p>
        </w:tc>
      </w:tr>
      <w:tr>
        <w:tc>
          <w:tcPr>
            <w:tcW w:type="dxa" w:w="2800"/>
            <w:tcBorders>
              <w:top w:val="single" w:color="CCCCCC" w:sz="1"/>
              <w:left w:val="single" w:color="CCCCCC" w:sz="1"/>
              <w:bottom w:val="single" w:color="CCCCCC" w:sz="1"/>
              <w:right w:val="single" w:color="CCCCCC" w:sz="1"/>
            </w:tcBorders>
            <w:shd w:fill="E2EFDA" w:val="clear"/>
            <w:tcMar>
              <w:top w:type="dxa" w:w="60"/>
              <w:left w:type="dxa" w:w="80"/>
              <w:bottom w:type="dxa" w:w="60"/>
              <w:right w:type="dxa" w:w="80"/>
            </w:tcMar>
          </w:tcPr>
          <w:p>
            <w:pPr>
              <w:jc w:val="left"/>
            </w:pPr>
            <w:r>
              <w:rPr>
                <w:rFonts w:ascii="Arial" w:cs="Arial" w:eastAsia="Arial" w:hAnsi="Arial"/>
                <w:b/>
                <w:bCs/>
                <w:sz w:val="17"/>
                <w:szCs w:val="17"/>
              </w:rPr>
              <w:t xml:space="preserve">PVT + PAC eau-eau (hybride)</w:t>
            </w:r>
          </w:p>
        </w:tc>
        <w:tc>
          <w:tcPr>
            <w:tcW w:type="dxa" w:w="1800"/>
            <w:tcBorders>
              <w:top w:val="single" w:color="CCCCCC" w:sz="1"/>
              <w:left w:val="single" w:color="CCCCCC" w:sz="1"/>
              <w:bottom w:val="single" w:color="CCCCCC" w:sz="1"/>
              <w:right w:val="single" w:color="CCCCCC" w:sz="1"/>
            </w:tcBorders>
            <w:shd w:fill="E2EFDA" w:val="clear"/>
            <w:tcMar>
              <w:top w:type="dxa" w:w="60"/>
              <w:left w:type="dxa" w:w="80"/>
              <w:bottom w:type="dxa" w:w="60"/>
              <w:right w:type="dxa" w:w="80"/>
            </w:tcMar>
          </w:tcPr>
          <w:p>
            <w:pPr>
              <w:jc w:val="center"/>
            </w:pPr>
            <w:r>
              <w:rPr>
                <w:rFonts w:ascii="Arial" w:cs="Arial" w:eastAsia="Arial" w:hAnsi="Arial"/>
                <w:b/>
                <w:bCs/>
                <w:sz w:val="17"/>
                <w:szCs w:val="17"/>
              </w:rPr>
              <w:t xml:space="preserve">4,5 – 5,5+ (jusqu’à 8,5)</w:t>
            </w:r>
          </w:p>
        </w:tc>
        <w:tc>
          <w:tcPr>
            <w:tcW w:type="dxa" w:w="1800"/>
            <w:tcBorders>
              <w:top w:val="single" w:color="CCCCCC" w:sz="1"/>
              <w:left w:val="single" w:color="CCCCCC" w:sz="1"/>
              <w:bottom w:val="single" w:color="CCCCCC" w:sz="1"/>
              <w:right w:val="single" w:color="CCCCCC" w:sz="1"/>
            </w:tcBorders>
            <w:shd w:fill="E2EFDA" w:val="clear"/>
            <w:tcMar>
              <w:top w:type="dxa" w:w="60"/>
              <w:left w:type="dxa" w:w="80"/>
              <w:bottom w:type="dxa" w:w="60"/>
              <w:right w:type="dxa" w:w="80"/>
            </w:tcMar>
          </w:tcPr>
          <w:p>
            <w:pPr>
              <w:jc w:val="center"/>
            </w:pPr>
            <w:r>
              <w:rPr>
                <w:rFonts w:ascii="Arial" w:cs="Arial" w:eastAsia="Arial" w:hAnsi="Arial"/>
                <w:b/>
                <w:bCs/>
                <w:sz w:val="17"/>
                <w:szCs w:val="17"/>
              </w:rPr>
              <w:t xml:space="preserve">Excellent</w:t>
            </w:r>
          </w:p>
        </w:tc>
        <w:tc>
          <w:tcPr>
            <w:tcW w:type="dxa" w:w="3506"/>
            <w:tcBorders>
              <w:top w:val="single" w:color="CCCCCC" w:sz="1"/>
              <w:left w:val="single" w:color="CCCCCC" w:sz="1"/>
              <w:bottom w:val="single" w:color="CCCCCC" w:sz="1"/>
              <w:right w:val="single" w:color="CCCCCC" w:sz="1"/>
            </w:tcBorders>
            <w:shd w:fill="E2EFDA" w:val="clear"/>
            <w:tcMar>
              <w:top w:type="dxa" w:w="60"/>
              <w:left w:type="dxa" w:w="80"/>
              <w:bottom w:type="dxa" w:w="60"/>
              <w:right w:type="dxa" w:w="80"/>
            </w:tcMar>
          </w:tcPr>
          <w:p>
            <w:pPr>
              <w:jc w:val="left"/>
            </w:pPr>
            <w:r>
              <w:rPr>
                <w:rFonts w:ascii="Arial" w:cs="Arial" w:eastAsia="Arial" w:hAnsi="Arial"/>
                <w:b/>
                <w:bCs/>
                <w:sz w:val="17"/>
                <w:szCs w:val="17"/>
              </w:rPr>
              <w:t xml:space="preserve">Source air + soleil 24h/24 ; pas d’unité extérieure ; double production élec + chaleur</w:t>
            </w:r>
          </w:p>
        </w:tc>
      </w:tr>
      <w:tr>
        <w:tc>
          <w:tcPr>
            <w:tcW w:type="dxa" w:w="2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PAC aérothermique air-eau</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3,0 – 4,0 (annonce)</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Bon / Variable</w:t>
            </w:r>
          </w:p>
        </w:tc>
        <w:tc>
          <w:tcPr>
            <w:tcW w:type="dxa" w:w="3506"/>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Chute forte en hiver + cycles de dégivrage</w:t>
            </w:r>
          </w:p>
        </w:tc>
      </w:tr>
      <w:tr>
        <w:tc>
          <w:tcPr>
            <w:tcW w:type="dxa" w:w="2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PAC air-air</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2,0 – 3,0</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Moyen</w:t>
            </w:r>
          </w:p>
        </w:tc>
        <w:tc>
          <w:tcPr>
            <w:tcW w:type="dxa" w:w="3506"/>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Sensible au froid et à l’humidité</w:t>
            </w:r>
          </w:p>
        </w:tc>
      </w:tr>
      <w:tr>
        <w:tc>
          <w:tcPr>
            <w:tcW w:type="dxa" w:w="2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Chaudière gaz condensation</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1,0 – 1,1 (équivalent)</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Faible</w:t>
            </w:r>
          </w:p>
        </w:tc>
        <w:tc>
          <w:tcPr>
            <w:tcW w:type="dxa" w:w="3506"/>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Dépendance HC + émissions</w:t>
            </w:r>
          </w:p>
        </w:tc>
      </w:tr>
      <w:tr>
        <w:tc>
          <w:tcPr>
            <w:tcW w:type="dxa" w:w="2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Chaudière fioul / gaz classique</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0,75 – 0,95</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Faible</w:t>
            </w:r>
          </w:p>
        </w:tc>
        <w:tc>
          <w:tcPr>
            <w:tcW w:type="dxa" w:w="3506"/>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À remplacer en priorité</w:t>
            </w:r>
          </w:p>
        </w:tc>
      </w:tr>
      <w:tr>
        <w:tc>
          <w:tcPr>
            <w:tcW w:type="dxa" w:w="2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Chauffage électrique direct</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0,95 – 1,0</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Faible</w:t>
            </w:r>
          </w:p>
        </w:tc>
        <w:tc>
          <w:tcPr>
            <w:tcW w:type="dxa" w:w="3506"/>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COP = 1 ; coûteux en exploitation</w:t>
            </w:r>
          </w:p>
        </w:tc>
      </w:tr>
      <w:tr>
        <w:tc>
          <w:tcPr>
            <w:tcW w:type="dxa" w:w="2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Biomasse (granulés / bûches)</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0,75 – 0,95</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sz w:val="17"/>
                <w:szCs w:val="17"/>
              </w:rPr>
              <w:t xml:space="preserve">Moyen</w:t>
            </w:r>
          </w:p>
        </w:tc>
        <w:tc>
          <w:tcPr>
            <w:tcW w:type="dxa" w:w="3506"/>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sz w:val="17"/>
                <w:szCs w:val="17"/>
              </w:rPr>
              <w:t xml:space="preserve">Local mais particules et logistique</w:t>
            </w:r>
          </w:p>
        </w:tc>
      </w:tr>
    </w:tbl>
    <w:p>
      <w:pPr>
        <w:spacing w:after="200" w:before="120"/>
      </w:pPr>
      <w:r>
        <w:rPr>
          <w:i/>
          <w:iCs/>
          <w:sz w:val="18"/>
          <w:szCs w:val="18"/>
        </w:rPr>
        <w:t xml:space="preserve">Sources des plages : normes EN 14511 / EN 14825, données constructeurs (Triple Solar, DualSun), études IEA SHC Task 60, retours terrain Pays-Bas et France. Les valeurs PVT intègrent l’autoconsommation électrique des panneaux.</w:t>
      </w:r>
    </w:p>
    <w:p>
      <w:pPr>
        <w:pStyle w:val="Heading1"/>
      </w:pPr>
      <w:r>
        <w:t xml:space="preserve">3. Focus technique : les systèmes PVT + pompe à chaleur</w:t>
      </w:r>
    </w:p>
    <w:p>
      <w:pPr>
        <w:pStyle w:val="Heading2"/>
      </w:pPr>
      <w:r>
        <w:t xml:space="preserve">3.1 Principe</w:t>
      </w:r>
    </w:p>
    <w:p>
      <w:pPr>
        <w:spacing w:after="120"/>
      </w:pPr>
      <w:r>
        <w:rPr>
          <w:sz w:val="22"/>
          <w:szCs w:val="22"/>
        </w:rPr>
        <w:t xml:space="preserve">Un panneau PVT (Photovoltaïque-Thermique) combine sur une même surface :</w:t>
      </w:r>
    </w:p>
    <w:p>
      <w:pPr>
        <w:pStyle w:val="ListParagraph"/>
        <w:numPr>
          <w:ilvl w:val="0"/>
          <w:numId w:val="2"/>
        </w:numPr>
      </w:pPr>
      <w:r>
        <w:rPr>
          <w:sz w:val="22"/>
          <w:szCs w:val="22"/>
        </w:rPr>
        <w:t xml:space="preserve">Face avant : cellules photovoltaïques (production d’électricité, ~18-22 % de rendement).</w:t>
      </w:r>
    </w:p>
    <w:p>
      <w:pPr>
        <w:pStyle w:val="ListParagraph"/>
        <w:numPr>
          <w:ilvl w:val="0"/>
          <w:numId w:val="2"/>
        </w:numPr>
      </w:pPr>
      <w:r>
        <w:rPr>
          <w:sz w:val="22"/>
          <w:szCs w:val="22"/>
        </w:rPr>
        <w:t xml:space="preserve">Face arrière : échangeur thermique (récupération de la chaleur, fluide eau/glycol).</w:t>
      </w:r>
    </w:p>
    <w:p>
      <w:pPr>
        <w:spacing w:after="120" w:before="120"/>
      </w:pPr>
      <w:r>
        <w:rPr>
          <w:sz w:val="22"/>
          <w:szCs w:val="22"/>
        </w:rPr>
        <w:t xml:space="preserve">La chaleur récupérée (solaire + extraction d’air ambiant 24h/24) sert de source basse température à une pompe à chaleur eau-eau. Cela élève le COP de la PAC, réduit les cycles de dégivrage et permet de supprimer l’unité extérieure classique. L’électricité produite alimente en partie la pompe à chaleur (autoconsommation).</w:t>
      </w:r>
    </w:p>
    <w:p>
      <w:pPr>
        <w:pStyle w:val="Heading2"/>
      </w:pPr>
      <w:r>
        <w:t xml:space="preserve">3.2 Performances vérifiées (COP / SCOP 5+)</w:t>
      </w:r>
    </w:p>
    <w:p>
      <w:pPr>
        <w:spacing w:after="120"/>
      </w:pPr>
      <w:r>
        <w:rPr>
          <w:sz w:val="22"/>
          <w:szCs w:val="22"/>
        </w:rPr>
        <w:t xml:space="preserve">Oui, les systèmes PVT + PAC atteignent et dépassent un SCOP/SPF de 5 dans des conditions réalistes :</w:t>
      </w:r>
    </w:p>
    <w:p>
      <w:pPr>
        <w:pStyle w:val="ListParagraph"/>
        <w:numPr>
          <w:ilvl w:val="0"/>
          <w:numId w:val="2"/>
        </w:numPr>
      </w:pPr>
      <w:r>
        <w:rPr>
          <w:sz w:val="22"/>
          <w:szCs w:val="22"/>
        </w:rPr>
        <w:t xml:space="preserve">Triple Solar (Pays-Bas) – PVT Heat Pump 5 : SCOP/SPF jusqu’à 5,5 (annuel). SCOP 4,8 pour une maison de 7 500 kWh/an de chauffage avec couverture 100 % par le compresseur. Jusqu’à 5,4 selon conditions. Fonctionne jusqu’à -10 °C / -20 °C source ; appoint électrique uniquement en dessous.</w:t>
      </w:r>
    </w:p>
    <w:p>
      <w:pPr>
        <w:pStyle w:val="ListParagraph"/>
        <w:numPr>
          <w:ilvl w:val="0"/>
          <w:numId w:val="2"/>
        </w:numPr>
      </w:pPr>
      <w:r>
        <w:rPr>
          <w:sz w:val="22"/>
          <w:szCs w:val="22"/>
        </w:rPr>
        <w:t xml:space="preserve">DualSun (France) – SPRING4 + PAC eau-eau : SCOP annoncé jusqu’à 8,5 dans configurations optimisées (forte autoconsommation + basse température). +20 % d’efficacité par rapport à un système PV + PAC air-eau.</w:t>
      </w:r>
    </w:p>
    <w:p>
      <w:pPr>
        <w:pStyle w:val="ListParagraph"/>
        <w:numPr>
          <w:ilvl w:val="0"/>
          <w:numId w:val="2"/>
        </w:numPr>
      </w:pPr>
      <w:r>
        <w:rPr>
          <w:sz w:val="22"/>
          <w:szCs w:val="22"/>
        </w:rPr>
        <w:t xml:space="preserve">IEA SHC Task 60 : installations réelles avec COP annuels de 3 à 5 ; solutions commerciales turnkey pour maisons individuelles.</w:t>
      </w:r>
    </w:p>
    <w:p>
      <w:pPr>
        <w:spacing w:after="120" w:before="120"/>
      </w:pPr>
      <w:r>
        <w:rPr>
          <w:sz w:val="22"/>
          <w:szCs w:val="22"/>
        </w:rPr>
        <w:t xml:space="preserve">En hiver (même à -10 °C), le système continue d’extraire de la chaleur de l’air via les panneaux (pas d’arrêt pour dégivrage comme les PAC air classiques). La formation de givre réduit la performance thermique d’environ 10 % maximum, le système étant dimensionné pour cela. COP journalier reste typiquement autour de 3 ou plus.</w:t>
      </w:r>
    </w:p>
    <w:p>
      <w:pPr>
        <w:pStyle w:val="Heading2"/>
      </w:pPr>
      <w:r>
        <w:t xml:space="preserve">3.3 Dimensionnement typique</w:t>
      </w:r>
    </w:p>
    <w:p>
      <w:pPr>
        <w:pStyle w:val="ListParagraph"/>
        <w:numPr>
          <w:ilvl w:val="0"/>
          <w:numId w:val="2"/>
        </w:numPr>
      </w:pPr>
      <w:r>
        <w:rPr>
          <w:sz w:val="22"/>
          <w:szCs w:val="22"/>
        </w:rPr>
        <w:t xml:space="preserve">Règle de pouce Triple Solar : ≈ 2,5 à 2,7 m² de panneaux PVT par kW de puissance PAC.</w:t>
      </w:r>
    </w:p>
    <w:p>
      <w:pPr>
        <w:pStyle w:val="ListParagraph"/>
        <w:numPr>
          <w:ilvl w:val="0"/>
          <w:numId w:val="2"/>
        </w:numPr>
      </w:pPr>
      <w:r>
        <w:rPr>
          <w:sz w:val="22"/>
          <w:szCs w:val="22"/>
        </w:rPr>
        <w:t xml:space="preserve">Exemple 10 m² de toiture/carport : 4 à 5 panneaux (≈ 1,6–2,2 kWp électrique) → source adaptée à une PAC 3,5 kW, suffisante pour une maison de 4 personnes bien isolée en climat tempéré (Pays-Bas, Belgique, nord de la France).</w:t>
      </w:r>
    </w:p>
    <w:p>
      <w:pPr>
        <w:pStyle w:val="ListParagraph"/>
        <w:numPr>
          <w:ilvl w:val="0"/>
          <w:numId w:val="2"/>
        </w:numPr>
      </w:pPr>
      <w:r>
        <w:rPr>
          <w:sz w:val="22"/>
          <w:szCs w:val="22"/>
        </w:rPr>
        <w:t xml:space="preserve">All-electric : 4 panneaux + PAC 3,5 kW + ballon 200 L (configuration de base Triple Solar).</w:t>
      </w:r>
    </w:p>
    <w:p>
      <w:pPr>
        <w:pStyle w:val="ListParagraph"/>
        <w:numPr>
          <w:ilvl w:val="0"/>
          <w:numId w:val="2"/>
        </w:numPr>
      </w:pPr>
      <w:r>
        <w:rPr>
          <w:sz w:val="22"/>
          <w:szCs w:val="22"/>
        </w:rPr>
        <w:t xml:space="preserve">Hybride (transition) : 3 panneaux + PAC en complément d’une chaudière gaz existante (économie 60-80 % de gaz).</w:t>
      </w:r>
    </w:p>
    <w:p>
      <w:pPr>
        <w:pStyle w:val="Heading2"/>
      </w:pPr>
      <w:r>
        <w:t xml:space="preserve">3.4 Avantages spécifiques vs alternatives</w:t>
      </w:r>
    </w:p>
    <w:p>
      <w:pPr>
        <w:pStyle w:val="ListParagraph"/>
        <w:numPr>
          <w:ilvl w:val="0"/>
          <w:numId w:val="2"/>
        </w:numPr>
      </w:pPr>
      <w:r>
        <w:rPr>
          <w:sz w:val="22"/>
          <w:szCs w:val="22"/>
        </w:rPr>
        <w:t xml:space="preserve">Pas d’unité extérieure : silence, esthétique, pas de constraints urbanistiques.</w:t>
      </w:r>
    </w:p>
    <w:p>
      <w:pPr>
        <w:pStyle w:val="ListParagraph"/>
        <w:numPr>
          <w:ilvl w:val="0"/>
          <w:numId w:val="2"/>
        </w:numPr>
      </w:pPr>
      <w:r>
        <w:rPr>
          <w:sz w:val="22"/>
          <w:szCs w:val="22"/>
        </w:rPr>
        <w:t xml:space="preserve">Pas de forage géothermique : coût et impact sol réduits, adapté aux zones urbaines denses ou contraintes.</w:t>
      </w:r>
    </w:p>
    <w:p>
      <w:pPr>
        <w:pStyle w:val="ListParagraph"/>
        <w:numPr>
          <w:ilvl w:val="0"/>
          <w:numId w:val="2"/>
        </w:numPr>
      </w:pPr>
      <w:r>
        <w:rPr>
          <w:sz w:val="22"/>
          <w:szCs w:val="22"/>
        </w:rPr>
        <w:t xml:space="preserve">Double production (électricité + chaleur) sur la même surface → optimisation foncière critique en Europe et en Afrique.</w:t>
      </w:r>
    </w:p>
    <w:p>
      <w:pPr>
        <w:pStyle w:val="ListParagraph"/>
        <w:numPr>
          <w:ilvl w:val="0"/>
          <w:numId w:val="2"/>
        </w:numPr>
      </w:pPr>
      <w:r>
        <w:rPr>
          <w:sz w:val="22"/>
          <w:szCs w:val="22"/>
        </w:rPr>
        <w:t xml:space="preserve">Fonctionnement 24h/24 même nuageux ou gelé (extraction d’air).</w:t>
      </w:r>
    </w:p>
    <w:p>
      <w:pPr>
        <w:pStyle w:val="ListParagraph"/>
        <w:numPr>
          <w:ilvl w:val="0"/>
          <w:numId w:val="2"/>
        </w:numPr>
      </w:pPr>
      <w:r>
        <w:rPr>
          <w:sz w:val="22"/>
          <w:szCs w:val="22"/>
        </w:rPr>
        <w:t xml:space="preserve">Refroidissement des cellules PV → gain de production électrique 5-15 % et meilleure durée de vie.</w:t>
      </w:r>
    </w:p>
    <w:p>
      <w:pPr>
        <w:pStyle w:val="Heading1"/>
      </w:pPr>
      <w:r>
        <w:t xml:space="preserve">4. Applications cibles : bâtiments, maraîchage, industrie</w:t>
      </w:r>
    </w:p>
    <w:p>
      <w:pPr>
        <w:spacing w:after="120"/>
      </w:pPr>
      <w:r>
        <w:rPr>
          <w:sz w:val="22"/>
          <w:szCs w:val="22"/>
        </w:rPr>
        <w:t xml:space="preserve">Bâtiments résidentiels et tertiaires : remplacement des chaudières gaz/fioul, solutions all-electric ou hybrides, collectif sans forage. Adapté aux toitures existantes et carports.</w:t>
      </w:r>
    </w:p>
    <w:p>
      <w:pPr>
        <w:spacing w:after="120"/>
      </w:pPr>
      <w:r>
        <w:rPr>
          <w:sz w:val="22"/>
          <w:szCs w:val="22"/>
        </w:rPr>
        <w:t xml:space="preserve">Maraîchage et serres : source de chaleur basse température stable + électricité pour pompes et éclairage. Réduction massive du gaz dans les serres (enjeu critique en Europe du Nord et potentiel en Afrique pour cultures hors-saison).</w:t>
      </w:r>
    </w:p>
    <w:p>
      <w:pPr>
        <w:spacing w:after="120"/>
      </w:pPr>
      <w:r>
        <w:rPr>
          <w:sz w:val="22"/>
          <w:szCs w:val="22"/>
        </w:rPr>
        <w:t xml:space="preserve">Process industriels (basse/moyenne température &lt; 80-100 °C) : préchauffage d’eau, séchage, lavage, pasteurisation légère. Les PVT non concentrés sont déjà commercialisés ; le solaire thermique concentré complète pour les plus hautes températures.</w:t>
      </w:r>
    </w:p>
    <w:p>
      <w:pPr>
        <w:pStyle w:val="Heading1"/>
      </w:pPr>
      <w:r>
        <w:t xml:space="preserve">5. Éléments de plaidoyer / lobbying (Europe &amp; Afrique)</w:t>
      </w:r>
    </w:p>
    <w:p>
      <w:pPr>
        <w:spacing w:after="120"/>
      </w:pPr>
      <w:r>
        <w:rPr>
          <w:sz w:val="22"/>
          <w:szCs w:val="22"/>
        </w:rPr>
        <w:t xml:space="preserve">Arguments prioritaires pour accélérer le déploiement et les politiques publiques :</w:t>
      </w:r>
    </w:p>
    <w:p>
      <w:pPr>
        <w:pStyle w:val="ListParagraph"/>
        <w:numPr>
          <w:ilvl w:val="0"/>
          <w:numId w:val="3"/>
        </w:numPr>
      </w:pPr>
      <w:r>
        <w:rPr>
          <w:sz w:val="22"/>
          <w:szCs w:val="22"/>
        </w:rPr>
        <w:t xml:space="preserve">Indépendance énergétique : technologie européenne mature (NL, FR, DE, CH). Réduction des importations de gaz et GNL.</w:t>
      </w:r>
    </w:p>
    <w:p>
      <w:pPr>
        <w:pStyle w:val="ListParagraph"/>
        <w:numPr>
          <w:ilvl w:val="0"/>
          <w:numId w:val="3"/>
        </w:numPr>
      </w:pPr>
      <w:r>
        <w:rPr>
          <w:sz w:val="22"/>
          <w:szCs w:val="22"/>
        </w:rPr>
        <w:t xml:space="preserve">Effet de levier électrique : SCOP 5+ = chaque kWh électrique produit 5 kWh de chaleur. Synergie maximale avec le mix nucléaire + renouvelables européens.</w:t>
      </w:r>
    </w:p>
    <w:p>
      <w:pPr>
        <w:pStyle w:val="ListParagraph"/>
        <w:numPr>
          <w:ilvl w:val="0"/>
          <w:numId w:val="3"/>
        </w:numPr>
      </w:pPr>
      <w:r>
        <w:rPr>
          <w:sz w:val="22"/>
          <w:szCs w:val="22"/>
        </w:rPr>
        <w:t xml:space="preserve">Pas de forage ni de bruit : solution réaliste pour le parc existant urbain et périurbain (majorité du marché).</w:t>
      </w:r>
    </w:p>
    <w:p>
      <w:pPr>
        <w:pStyle w:val="ListParagraph"/>
        <w:numPr>
          <w:ilvl w:val="0"/>
          <w:numId w:val="3"/>
        </w:numPr>
      </w:pPr>
      <w:r>
        <w:rPr>
          <w:sz w:val="22"/>
          <w:szCs w:val="22"/>
        </w:rPr>
        <w:t xml:space="preserve">Optimisation foncière : double production sur toiture/carport – critique en zones densément peuplées et en Afrique où le foncier et le capital sont contraints.</w:t>
      </w:r>
    </w:p>
    <w:p>
      <w:pPr>
        <w:pStyle w:val="ListParagraph"/>
        <w:numPr>
          <w:ilvl w:val="0"/>
          <w:numId w:val="3"/>
        </w:numPr>
      </w:pPr>
      <w:r>
        <w:rPr>
          <w:sz w:val="22"/>
          <w:szCs w:val="22"/>
        </w:rPr>
        <w:t xml:space="preserve">Résilience climatique : extraction d’air 24h/24 + solaire → moins sensible aux pics de froid que les PAC air seules.</w:t>
      </w:r>
    </w:p>
    <w:p>
      <w:pPr>
        <w:pStyle w:val="ListParagraph"/>
        <w:numPr>
          <w:ilvl w:val="0"/>
          <w:numId w:val="3"/>
        </w:numPr>
      </w:pPr>
      <w:r>
        <w:rPr>
          <w:sz w:val="22"/>
          <w:szCs w:val="22"/>
        </w:rPr>
        <w:t xml:space="preserve">Potentiel Afrique : besoins de froid (climatisation, chaîne du froid agroalimentaire) + chaleur (séchage, ECS) + électricité. Les zones ensoleillées maximisent le rendement thermique et électrique.</w:t>
      </w:r>
    </w:p>
    <w:p>
      <w:pPr>
        <w:pStyle w:val="ListParagraph"/>
        <w:numPr>
          <w:ilvl w:val="0"/>
          <w:numId w:val="3"/>
        </w:numPr>
      </w:pPr>
      <w:r>
        <w:rPr>
          <w:sz w:val="22"/>
          <w:szCs w:val="22"/>
        </w:rPr>
        <w:t xml:space="preserve">Recommandations politiques : intégrer explicitement les PVT dans les mécanismes de soutien (SDE++, CEE, MaPrimeRénov’, ISDE néerlandais, etc.), normes BENG/nZEB, et programmes de coopération UE-Afrique sur l’énergie.</w:t>
      </w:r>
    </w:p>
    <w:p>
      <w:pPr>
        <w:pStyle w:val="Heading1"/>
      </w:pPr>
      <w:r>
        <w:t xml:space="preserve">6. Références principales</w:t>
      </w:r>
    </w:p>
    <w:p>
      <w:pPr>
        <w:spacing w:after="80"/>
      </w:pPr>
      <w:r>
        <w:rPr>
          <w:b/>
          <w:bCs/>
          <w:sz w:val="22"/>
          <w:szCs w:val="22"/>
        </w:rPr>
        <w:t xml:space="preserve">Constructeurs et fiches techniques :</w:t>
      </w:r>
    </w:p>
    <w:p>
      <w:pPr>
        <w:pStyle w:val="ListParagraph"/>
        <w:numPr>
          <w:ilvl w:val="0"/>
          <w:numId w:val="4"/>
        </w:numPr>
      </w:pPr>
      <w:r>
        <w:rPr>
          <w:sz w:val="20"/>
          <w:szCs w:val="20"/>
        </w:rPr>
        <w:t xml:space="preserve">Triple Solar – PVT Heat Pump 5 : https://triplesolar.eu/en/pvt-heat-pump/ (SCOP/SPF jusqu’à 5,5 – données 2026).</w:t>
      </w:r>
    </w:p>
    <w:p>
      <w:pPr>
        <w:pStyle w:val="ListParagraph"/>
        <w:numPr>
          <w:ilvl w:val="0"/>
          <w:numId w:val="4"/>
        </w:numPr>
      </w:pPr>
      <w:r>
        <w:rPr>
          <w:sz w:val="20"/>
          <w:szCs w:val="20"/>
        </w:rPr>
        <w:t xml:space="preserve">DualSun – SPRING4 PVT-Source Heat Pump : https://dualsun.com/en/solutions/pvt-source-heat-pump/ (SCOP jusqu’à 8,5 annoncés).</w:t>
      </w:r>
    </w:p>
    <w:p>
      <w:pPr>
        <w:pStyle w:val="ListParagraph"/>
        <w:numPr>
          <w:ilvl w:val="0"/>
          <w:numId w:val="4"/>
        </w:numPr>
      </w:pPr>
      <w:r>
        <w:rPr>
          <w:sz w:val="20"/>
          <w:szCs w:val="20"/>
        </w:rPr>
        <w:t xml:space="preserve">DualSun SPRING : https://dualsun.com/en/products/dualsun-spring/</w:t>
      </w:r>
    </w:p>
    <w:p>
      <w:pPr>
        <w:spacing w:after="80" w:before="160"/>
      </w:pPr>
      <w:r>
        <w:rPr>
          <w:b/>
          <w:bCs/>
          <w:sz w:val="22"/>
          <w:szCs w:val="22"/>
        </w:rPr>
        <w:t xml:space="preserve">Études et programmes internationaux :</w:t>
      </w:r>
    </w:p>
    <w:p>
      <w:pPr>
        <w:pStyle w:val="ListParagraph"/>
        <w:numPr>
          <w:ilvl w:val="0"/>
          <w:numId w:val="4"/>
        </w:numPr>
      </w:pPr>
      <w:r>
        <w:rPr>
          <w:sz w:val="20"/>
          <w:szCs w:val="20"/>
        </w:rPr>
        <w:t xml:space="preserve">IEA SHC Task 60 – PVT Systems : https://task60.iea-shc.org/ et rapports associés (KPI, marchés, simulations).</w:t>
      </w:r>
    </w:p>
    <w:p>
      <w:pPr>
        <w:pStyle w:val="ListParagraph"/>
        <w:numPr>
          <w:ilvl w:val="0"/>
          <w:numId w:val="4"/>
        </w:numPr>
      </w:pPr>
      <w:r>
        <w:rPr>
          <w:sz w:val="20"/>
          <w:szCs w:val="20"/>
        </w:rPr>
        <w:t xml:space="preserve">IEA SHC – Solar Heat Worldwide (éditions 2024/2025) : données de marché PVT (Europe 64 % de la capacité mondiale installée).</w:t>
      </w:r>
    </w:p>
    <w:p>
      <w:pPr>
        <w:pStyle w:val="ListParagraph"/>
        <w:numPr>
          <w:ilvl w:val="0"/>
          <w:numId w:val="4"/>
        </w:numPr>
      </w:pPr>
      <w:r>
        <w:rPr>
          <w:sz w:val="20"/>
          <w:szCs w:val="20"/>
        </w:rPr>
        <w:t xml:space="preserve">Solar Heat Europe – rapports marché et solutions solaires thermiques / hybrides.</w:t>
      </w:r>
    </w:p>
    <w:p>
      <w:pPr>
        <w:pStyle w:val="ListParagraph"/>
        <w:numPr>
          <w:ilvl w:val="0"/>
          <w:numId w:val="4"/>
        </w:numPr>
      </w:pPr>
      <w:r>
        <w:rPr>
          <w:sz w:val="20"/>
          <w:szCs w:val="20"/>
        </w:rPr>
        <w:t xml:space="preserve">Wikipedia – Solar-assisted heat pump (SAHP) : https://en.wikipedia.org/wiki/Solar-assisted_heat_pump</w:t>
      </w:r>
    </w:p>
    <w:p>
      <w:pPr>
        <w:spacing w:after="80" w:before="160"/>
      </w:pPr>
      <w:r>
        <w:rPr>
          <w:b/>
          <w:bCs/>
          <w:sz w:val="22"/>
          <w:szCs w:val="22"/>
        </w:rPr>
        <w:t xml:space="preserve">Normes et performance :</w:t>
      </w:r>
    </w:p>
    <w:p>
      <w:pPr>
        <w:pStyle w:val="ListParagraph"/>
        <w:numPr>
          <w:ilvl w:val="0"/>
          <w:numId w:val="4"/>
        </w:numPr>
      </w:pPr>
      <w:r>
        <w:rPr>
          <w:sz w:val="20"/>
          <w:szCs w:val="20"/>
        </w:rPr>
        <w:t xml:space="preserve">EN 14511 / EN 14825 – méthodes de mesure COP et SCOP des pompes à chaleur.</w:t>
      </w:r>
    </w:p>
    <w:p>
      <w:pPr>
        <w:pStyle w:val="ListParagraph"/>
        <w:numPr>
          <w:ilvl w:val="0"/>
          <w:numId w:val="4"/>
        </w:numPr>
      </w:pPr>
      <w:r>
        <w:rPr>
          <w:sz w:val="20"/>
          <w:szCs w:val="20"/>
        </w:rPr>
        <w:t xml:space="preserve">Retours terrain Pays-Bas (installations Triple Solar, projets Ronduit Utrecht, etc.).</w:t>
      </w:r>
    </w:p>
    <w:p>
      <w:pPr>
        <w:pStyle w:val="Heading1"/>
      </w:pPr>
      <w:r>
        <w:t xml:space="preserve">7. Conclusion et prochaines étapes</w:t>
      </w:r>
    </w:p>
    <w:p>
      <w:pPr>
        <w:spacing w:after="120"/>
      </w:pPr>
      <w:r>
        <w:rPr>
          <w:sz w:val="22"/>
          <w:szCs w:val="22"/>
        </w:rPr>
        <w:t xml:space="preserve">Les systèmes PVT + pompe à chaleur constituent aujourd’hui l’une des solutions les plus matures et les plus efficaces pour produire chaleur et électricité sans hydrocarbures, sans forage et sans unité extérieure. Les performances SCOP 5+ sont atteignables et déjà commercialisées. Elles s’inscrivent parfaitement dans une stratégie de sortie des hydrocarbures pour les bâtiments, le maraîchage et une partie des process industriels en Europe et en Afrique.</w:t>
      </w:r>
    </w:p>
    <w:p>
      <w:pPr>
        <w:spacing w:after="120"/>
      </w:pPr>
      <w:r>
        <w:rPr>
          <w:sz w:val="22"/>
          <w:szCs w:val="22"/>
        </w:rPr>
        <w:t xml:space="preserve">Prochaines actions recommandées :</w:t>
      </w:r>
    </w:p>
    <w:p>
      <w:pPr>
        <w:pStyle w:val="ListParagraph"/>
        <w:numPr>
          <w:ilvl w:val="0"/>
          <w:numId w:val="5"/>
        </w:numPr>
      </w:pPr>
      <w:r>
        <w:rPr>
          <w:sz w:val="22"/>
          <w:szCs w:val="22"/>
        </w:rPr>
        <w:t xml:space="preserve">Cartographier les toitures et carports disponibles et les besoins thermiques locaux.</w:t>
      </w:r>
    </w:p>
    <w:p>
      <w:pPr>
        <w:pStyle w:val="ListParagraph"/>
        <w:numPr>
          <w:ilvl w:val="0"/>
          <w:numId w:val="5"/>
        </w:numPr>
      </w:pPr>
      <w:r>
        <w:rPr>
          <w:sz w:val="22"/>
          <w:szCs w:val="22"/>
        </w:rPr>
        <w:t xml:space="preserve">Lancer des projets pilotes all-electric et hybrides (maisons, collectifs, serres).</w:t>
      </w:r>
    </w:p>
    <w:p>
      <w:pPr>
        <w:pStyle w:val="ListParagraph"/>
        <w:numPr>
          <w:ilvl w:val="0"/>
          <w:numId w:val="5"/>
        </w:numPr>
      </w:pPr>
      <w:r>
        <w:rPr>
          <w:sz w:val="22"/>
          <w:szCs w:val="22"/>
        </w:rPr>
        <w:t xml:space="preserve">Intégrer les PVT dans les dispositifs de soutien et les normes de performance énergétique.</w:t>
      </w:r>
    </w:p>
    <w:p>
      <w:pPr>
        <w:pStyle w:val="ListParagraph"/>
        <w:numPr>
          <w:ilvl w:val="0"/>
          <w:numId w:val="5"/>
        </w:numPr>
      </w:pPr>
      <w:r>
        <w:rPr>
          <w:sz w:val="22"/>
          <w:szCs w:val="22"/>
        </w:rPr>
        <w:t xml:space="preserve">Développer des filières de coopération technique Europe-Afrique sur les solutions hybrides solaires.</w:t>
      </w:r>
    </w:p>
    <w:p>
      <w:pPr>
        <w:spacing w:before="400"/>
        <w:jc w:val="center"/>
      </w:pPr>
      <w:r>
        <w:rPr>
          <w:i/>
          <w:iCs/>
          <w:color w:val="666666"/>
          <w:sz w:val="20"/>
          <w:szCs w:val="20"/>
        </w:rPr>
        <w:t xml:space="preserve">— Fin du document —</w:t>
      </w:r>
    </w:p>
    <w:p>
      <w:pPr>
        <w:spacing w:before="80"/>
        <w:jc w:val="center"/>
      </w:pPr>
      <w:r>
        <w:rPr>
          <w:i/>
          <w:iCs/>
          <w:color w:val="666666"/>
          <w:sz w:val="16"/>
          <w:szCs w:val="16"/>
        </w:rPr>
        <w:t xml:space="preserve">Document établi à partir de données constructeurs, IEA SHC Task 60, Solar Heat Europe et retours d’installations réelles (2021-2026).</w:t>
      </w:r>
    </w:p>
    <w:sectPr>
      <w:headerReference w:type="default" r:id="rId7"/>
      <w:footerReference w:type="default" r:id="rId8"/>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6"/>
        <w:szCs w:val="16"/>
      </w:rPr>
      <w:t xml:space="preserve">Document de synthèse technique et de plaidoyer – Août 2026  |  Page </w:t>
    </w:r>
    <w:r>
      <w:rPr>
        <w:rFonts w:ascii="Arial" w:cs="Arial" w:eastAsia="Arial" w:hAnsi="Arial"/>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E79" w:sz="6" w:space="4"/>
      </w:pBdr>
    </w:pPr>
    <w:r>
      <w:rPr>
        <w:rFonts w:ascii="Arial" w:cs="Arial" w:eastAsia="Arial" w:hAnsi="Arial"/>
        <w:i/>
        <w:iCs/>
        <w:color w:val="666666"/>
        <w:sz w:val="16"/>
        <w:szCs w:val="16"/>
      </w:rPr>
      <w:t xml:space="preserve">Solutions Chauffage &amp; Refroidissement – Sortie des Hydrocarbures | Europe &amp; Afrique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5"/>
    <w:lvlOverride w:ilvl="0">
      <w:startOverride w:val="1"/>
    </w:lvlOverride>
  </w:num>
  <w:num w:numId="4">
    <w:abstractNumId w:val="4"/>
    <w:lvlOverride w:ilvl="0">
      <w:startOverride w:val="1"/>
    </w:lvlOverride>
  </w:num>
  <w:num w:numId="5">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 w:type="paragraph" w:styleId="Heading3">
    <w:name w:val="Heading 3"/>
    <w:basedOn w:val="Normal"/>
    <w:next w:val="Normal"/>
    <w:qFormat/>
    <w:pPr>
      <w:spacing w:after="120" w:before="200"/>
      <w:outlineLvl w:val="2"/>
    </w:pPr>
    <w:rPr>
      <w:rFonts w:ascii="Arial" w:cs="Arial" w:eastAsia="Arial" w:hAnsi="Arial"/>
      <w:b/>
      <w:bCs/>
      <w:color w:val="5B9BD5"/>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2026-08-03T17:39:58.379Z</dcterms:created>
  <dcterms:modified xsi:type="dcterms:W3CDTF">2026-08-03T17:39:58.379Z</dcterms:modified>
</cp:coreProperties>
</file>

<file path=docProps/custom.xml><?xml version="1.0" encoding="utf-8"?>
<Properties xmlns="http://schemas.openxmlformats.org/officeDocument/2006/custom-properties" xmlns:vt="http://schemas.openxmlformats.org/officeDocument/2006/docPropsVTypes"/>
</file>